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6C9" w:rsidRDefault="00BE08DC">
      <w:pPr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6C76C9" w:rsidRDefault="006C76C9"/>
    <w:p w:rsidR="006C76C9" w:rsidRDefault="006C76C9"/>
    <w:p w:rsidR="006C76C9" w:rsidRDefault="00BE08DC">
      <w:pPr>
        <w:spacing w:before="120" w:after="240" w:line="500" w:lineRule="exact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江苏省研究生工作站申报书</w:t>
      </w:r>
    </w:p>
    <w:p w:rsidR="006C76C9" w:rsidRDefault="00BE08DC">
      <w:pPr>
        <w:spacing w:before="120" w:after="240" w:line="500" w:lineRule="exact"/>
        <w:jc w:val="center"/>
        <w:rPr>
          <w:rFonts w:eastAsia="楷体"/>
          <w:b/>
          <w:bCs/>
          <w:sz w:val="44"/>
          <w:szCs w:val="44"/>
        </w:rPr>
      </w:pPr>
      <w:r>
        <w:rPr>
          <w:rFonts w:eastAsia="楷体"/>
          <w:b/>
          <w:bCs/>
          <w:sz w:val="44"/>
          <w:szCs w:val="44"/>
        </w:rPr>
        <w:t>（企业填报）</w:t>
      </w:r>
    </w:p>
    <w:p w:rsidR="006C76C9" w:rsidRDefault="006C76C9">
      <w:pPr>
        <w:spacing w:beforeLines="100" w:before="312"/>
        <w:jc w:val="center"/>
        <w:rPr>
          <w:b/>
          <w:sz w:val="72"/>
          <w:szCs w:val="72"/>
        </w:rPr>
      </w:pPr>
    </w:p>
    <w:p w:rsidR="006C76C9" w:rsidRDefault="006C76C9">
      <w:pPr>
        <w:spacing w:line="700" w:lineRule="exact"/>
        <w:ind w:leftChars="600" w:left="1260"/>
        <w:rPr>
          <w:rFonts w:eastAsia="仿宋_GB2312"/>
          <w:color w:val="FF0000"/>
          <w:spacing w:val="-14"/>
          <w:sz w:val="32"/>
          <w:szCs w:val="32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98"/>
        <w:gridCol w:w="4273"/>
      </w:tblGrid>
      <w:tr w:rsidR="006C76C9" w:rsidTr="000A224D">
        <w:trPr>
          <w:jc w:val="center"/>
        </w:trPr>
        <w:tc>
          <w:tcPr>
            <w:tcW w:w="3098" w:type="dxa"/>
            <w:shd w:val="clear" w:color="auto" w:fill="auto"/>
          </w:tcPr>
          <w:p w:rsidR="006C76C9" w:rsidRDefault="00BE08DC">
            <w:pPr>
              <w:rPr>
                <w:color w:val="FF0000"/>
              </w:rPr>
            </w:pPr>
            <w:r w:rsidRPr="000A224D">
              <w:rPr>
                <w:rFonts w:eastAsia="仿宋_GB2312"/>
                <w:spacing w:val="23"/>
                <w:kern w:val="0"/>
                <w:sz w:val="32"/>
                <w:szCs w:val="30"/>
                <w:fitText w:val="2880" w:id="-1758719232"/>
              </w:rPr>
              <w:t>申请设站单位全</w:t>
            </w:r>
            <w:r w:rsidRPr="000A224D">
              <w:rPr>
                <w:rFonts w:eastAsia="仿宋_GB2312"/>
                <w:kern w:val="0"/>
                <w:sz w:val="32"/>
                <w:szCs w:val="30"/>
                <w:fitText w:val="2880" w:id="-1758719232"/>
              </w:rPr>
              <w:t>称</w:t>
            </w:r>
          </w:p>
        </w:tc>
        <w:tc>
          <w:tcPr>
            <w:tcW w:w="4273" w:type="dxa"/>
            <w:shd w:val="clear" w:color="auto" w:fill="auto"/>
          </w:tcPr>
          <w:p w:rsidR="000A224D" w:rsidRDefault="00BE08DC">
            <w:pPr>
              <w:jc w:val="left"/>
              <w:rPr>
                <w:rFonts w:eastAsia="仿宋_GB2312"/>
                <w:spacing w:val="-14"/>
                <w:sz w:val="32"/>
                <w:szCs w:val="32"/>
                <w:u w:val="single"/>
              </w:rPr>
            </w:pPr>
            <w:r w:rsidRPr="000A224D">
              <w:rPr>
                <w:rFonts w:eastAsia="仿宋_GB2312"/>
                <w:sz w:val="32"/>
                <w:szCs w:val="32"/>
              </w:rPr>
              <w:t>：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鱼</w:t>
            </w:r>
            <w:proofErr w:type="gramStart"/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快创领</w:t>
            </w:r>
            <w:proofErr w:type="gramEnd"/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智能科技（南京）</w:t>
            </w:r>
          </w:p>
          <w:p w:rsidR="006C76C9" w:rsidRPr="000A224D" w:rsidRDefault="000A224D">
            <w:pPr>
              <w:jc w:val="left"/>
              <w:rPr>
                <w:rFonts w:eastAsia="仿宋_GB2312"/>
                <w:sz w:val="32"/>
                <w:szCs w:val="32"/>
              </w:rPr>
            </w:pPr>
            <w:r w:rsidRPr="000A224D">
              <w:rPr>
                <w:rFonts w:eastAsia="仿宋_GB2312"/>
                <w:spacing w:val="-14"/>
                <w:sz w:val="32"/>
                <w:szCs w:val="32"/>
              </w:rPr>
              <w:t xml:space="preserve">  </w:t>
            </w:r>
            <w:r w:rsidRPr="000A224D">
              <w:rPr>
                <w:rFonts w:eastAsia="仿宋_GB2312"/>
                <w:spacing w:val="-14"/>
                <w:sz w:val="16"/>
                <w:szCs w:val="32"/>
              </w:rPr>
              <w:t xml:space="preserve"> </w:t>
            </w:r>
            <w:r w:rsidR="00BE08DC"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有限公司</w:t>
            </w:r>
            <w:r w:rsidR="00BE08DC" w:rsidRPr="000A224D">
              <w:rPr>
                <w:rFonts w:eastAsia="仿宋_GB2312"/>
                <w:sz w:val="32"/>
                <w:szCs w:val="32"/>
              </w:rPr>
              <w:t xml:space="preserve">                        </w:t>
            </w:r>
          </w:p>
        </w:tc>
      </w:tr>
      <w:tr w:rsidR="006C76C9" w:rsidTr="000A224D">
        <w:trPr>
          <w:jc w:val="center"/>
        </w:trPr>
        <w:tc>
          <w:tcPr>
            <w:tcW w:w="3098" w:type="dxa"/>
            <w:shd w:val="clear" w:color="auto" w:fill="auto"/>
          </w:tcPr>
          <w:p w:rsidR="006C76C9" w:rsidRDefault="00BE08DC">
            <w:pPr>
              <w:rPr>
                <w:color w:val="FF0000"/>
              </w:rPr>
            </w:pPr>
            <w:r w:rsidRPr="000A224D">
              <w:rPr>
                <w:rFonts w:eastAsia="仿宋_GB2312"/>
                <w:spacing w:val="23"/>
                <w:kern w:val="0"/>
                <w:sz w:val="32"/>
                <w:szCs w:val="30"/>
                <w:fitText w:val="2880" w:id="-1758719231"/>
              </w:rPr>
              <w:t>单位组织机构代</w:t>
            </w:r>
            <w:r w:rsidRPr="000A224D">
              <w:rPr>
                <w:rFonts w:eastAsia="仿宋_GB2312"/>
                <w:kern w:val="0"/>
                <w:sz w:val="32"/>
                <w:szCs w:val="30"/>
                <w:fitText w:val="2880" w:id="-1758719231"/>
              </w:rPr>
              <w:t>码</w:t>
            </w:r>
          </w:p>
        </w:tc>
        <w:tc>
          <w:tcPr>
            <w:tcW w:w="4273" w:type="dxa"/>
            <w:shd w:val="clear" w:color="auto" w:fill="auto"/>
          </w:tcPr>
          <w:p w:rsidR="006C76C9" w:rsidRPr="000A224D" w:rsidRDefault="00BE08DC">
            <w:pPr>
              <w:jc w:val="left"/>
              <w:rPr>
                <w:rFonts w:eastAsia="仿宋_GB2312"/>
                <w:color w:val="FF0000"/>
                <w:sz w:val="32"/>
                <w:szCs w:val="32"/>
              </w:rPr>
            </w:pPr>
            <w:r w:rsidRPr="000A224D">
              <w:rPr>
                <w:rFonts w:eastAsia="仿宋_GB2312"/>
                <w:sz w:val="32"/>
                <w:szCs w:val="32"/>
              </w:rPr>
              <w:t>：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 xml:space="preserve">91320115MA21GETL3H       </w:t>
            </w:r>
          </w:p>
        </w:tc>
      </w:tr>
      <w:tr w:rsidR="006C76C9" w:rsidTr="000A224D">
        <w:trPr>
          <w:jc w:val="center"/>
        </w:trPr>
        <w:tc>
          <w:tcPr>
            <w:tcW w:w="3098" w:type="dxa"/>
            <w:shd w:val="clear" w:color="auto" w:fill="auto"/>
          </w:tcPr>
          <w:p w:rsidR="006C76C9" w:rsidRDefault="00BE08DC">
            <w:r w:rsidRPr="000A224D">
              <w:rPr>
                <w:rFonts w:eastAsia="仿宋_GB2312"/>
                <w:spacing w:val="96"/>
                <w:kern w:val="0"/>
                <w:sz w:val="32"/>
                <w:szCs w:val="30"/>
                <w:fitText w:val="2880" w:id="-1758719230"/>
              </w:rPr>
              <w:t>单位所属行</w:t>
            </w:r>
            <w:r w:rsidRPr="000A224D">
              <w:rPr>
                <w:rFonts w:eastAsia="仿宋_GB2312"/>
                <w:kern w:val="0"/>
                <w:sz w:val="32"/>
                <w:szCs w:val="30"/>
                <w:fitText w:val="2880" w:id="-1758719230"/>
              </w:rPr>
              <w:t>业</w:t>
            </w:r>
          </w:p>
        </w:tc>
        <w:tc>
          <w:tcPr>
            <w:tcW w:w="4273" w:type="dxa"/>
            <w:shd w:val="clear" w:color="auto" w:fill="auto"/>
          </w:tcPr>
          <w:p w:rsidR="006C76C9" w:rsidRPr="000A224D" w:rsidRDefault="00BE08DC">
            <w:pPr>
              <w:jc w:val="left"/>
              <w:rPr>
                <w:sz w:val="32"/>
                <w:szCs w:val="32"/>
              </w:rPr>
            </w:pPr>
            <w:r w:rsidRPr="000A224D">
              <w:rPr>
                <w:rFonts w:eastAsia="仿宋_GB2312"/>
                <w:sz w:val="32"/>
                <w:szCs w:val="32"/>
              </w:rPr>
              <w:t>：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软件和信息技术服务业</w:t>
            </w:r>
            <w:r w:rsidRPr="000A224D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</w:t>
            </w:r>
          </w:p>
        </w:tc>
      </w:tr>
      <w:tr w:rsidR="006C76C9" w:rsidTr="000A224D">
        <w:trPr>
          <w:jc w:val="center"/>
        </w:trPr>
        <w:tc>
          <w:tcPr>
            <w:tcW w:w="3098" w:type="dxa"/>
            <w:shd w:val="clear" w:color="auto" w:fill="auto"/>
          </w:tcPr>
          <w:p w:rsidR="006C76C9" w:rsidRDefault="00BE08DC">
            <w:r w:rsidRPr="000A224D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>单</w:t>
            </w:r>
            <w:r w:rsidRPr="000A224D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 xml:space="preserve"> </w:t>
            </w:r>
            <w:r w:rsidRPr="000A224D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>位</w:t>
            </w:r>
            <w:r w:rsidRPr="000A224D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 xml:space="preserve"> </w:t>
            </w:r>
            <w:r w:rsidRPr="000A224D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>地</w:t>
            </w:r>
            <w:r w:rsidRPr="000A224D">
              <w:rPr>
                <w:rFonts w:eastAsia="仿宋_GB2312"/>
                <w:spacing w:val="93"/>
                <w:kern w:val="0"/>
                <w:sz w:val="32"/>
                <w:szCs w:val="30"/>
                <w:fitText w:val="2880" w:id="-1758719229"/>
              </w:rPr>
              <w:t xml:space="preserve"> </w:t>
            </w:r>
            <w:r w:rsidRPr="000A224D">
              <w:rPr>
                <w:rFonts w:eastAsia="仿宋_GB2312"/>
                <w:spacing w:val="2"/>
                <w:kern w:val="0"/>
                <w:sz w:val="32"/>
                <w:szCs w:val="30"/>
                <w:fitText w:val="2880" w:id="-1758719229"/>
              </w:rPr>
              <w:t>址</w:t>
            </w:r>
          </w:p>
        </w:tc>
        <w:tc>
          <w:tcPr>
            <w:tcW w:w="4273" w:type="dxa"/>
            <w:shd w:val="clear" w:color="auto" w:fill="auto"/>
          </w:tcPr>
          <w:p w:rsidR="006C76C9" w:rsidRPr="000A224D" w:rsidRDefault="00BE08DC">
            <w:pPr>
              <w:ind w:left="320" w:hangingChars="100" w:hanging="320"/>
              <w:jc w:val="left"/>
              <w:rPr>
                <w:sz w:val="32"/>
                <w:szCs w:val="32"/>
              </w:rPr>
            </w:pPr>
            <w:r w:rsidRPr="000A224D">
              <w:rPr>
                <w:rFonts w:eastAsia="仿宋_GB2312"/>
                <w:sz w:val="32"/>
                <w:szCs w:val="32"/>
              </w:rPr>
              <w:t>：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南京市江宁</w:t>
            </w:r>
            <w:proofErr w:type="gramStart"/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区苏源大道</w:t>
            </w:r>
            <w:proofErr w:type="gramEnd"/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19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号九龙湖国际企业总部园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A1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座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19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层（江宁开发区）</w:t>
            </w:r>
            <w:r w:rsidRPr="000A224D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</w:t>
            </w:r>
          </w:p>
        </w:tc>
      </w:tr>
      <w:tr w:rsidR="006C76C9" w:rsidTr="000A224D">
        <w:trPr>
          <w:jc w:val="center"/>
        </w:trPr>
        <w:tc>
          <w:tcPr>
            <w:tcW w:w="3098" w:type="dxa"/>
            <w:shd w:val="clear" w:color="auto" w:fill="auto"/>
          </w:tcPr>
          <w:p w:rsidR="006C76C9" w:rsidRDefault="00BE08DC">
            <w:pPr>
              <w:rPr>
                <w:rFonts w:eastAsia="仿宋_GB2312"/>
                <w:spacing w:val="23"/>
                <w:kern w:val="0"/>
                <w:sz w:val="32"/>
                <w:szCs w:val="30"/>
              </w:rPr>
            </w:pPr>
            <w:r w:rsidRPr="000A224D">
              <w:rPr>
                <w:rFonts w:eastAsia="仿宋_GB2312"/>
                <w:spacing w:val="160"/>
                <w:kern w:val="0"/>
                <w:sz w:val="32"/>
                <w:szCs w:val="30"/>
                <w:fitText w:val="2880" w:id="-1758719228"/>
              </w:rPr>
              <w:t>单位联系</w:t>
            </w:r>
            <w:r w:rsidRPr="000A224D">
              <w:rPr>
                <w:rFonts w:eastAsia="仿宋_GB2312"/>
                <w:kern w:val="0"/>
                <w:sz w:val="32"/>
                <w:szCs w:val="30"/>
                <w:fitText w:val="2880" w:id="-1758719228"/>
              </w:rPr>
              <w:t>人</w:t>
            </w:r>
          </w:p>
        </w:tc>
        <w:tc>
          <w:tcPr>
            <w:tcW w:w="4273" w:type="dxa"/>
            <w:shd w:val="clear" w:color="auto" w:fill="auto"/>
          </w:tcPr>
          <w:p w:rsidR="006C76C9" w:rsidRPr="000A224D" w:rsidRDefault="00BE08DC">
            <w:pPr>
              <w:jc w:val="left"/>
              <w:rPr>
                <w:sz w:val="32"/>
                <w:szCs w:val="32"/>
              </w:rPr>
            </w:pPr>
            <w:r w:rsidRPr="000A224D">
              <w:rPr>
                <w:rFonts w:eastAsia="仿宋_GB2312"/>
                <w:sz w:val="32"/>
                <w:szCs w:val="32"/>
              </w:rPr>
              <w:t>：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王亚萍</w:t>
            </w:r>
            <w:r w:rsidRPr="000A224D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     </w:t>
            </w:r>
          </w:p>
        </w:tc>
      </w:tr>
      <w:tr w:rsidR="006C76C9" w:rsidTr="000A224D">
        <w:trPr>
          <w:jc w:val="center"/>
        </w:trPr>
        <w:tc>
          <w:tcPr>
            <w:tcW w:w="3098" w:type="dxa"/>
            <w:shd w:val="clear" w:color="auto" w:fill="auto"/>
          </w:tcPr>
          <w:p w:rsidR="006C76C9" w:rsidRDefault="00BE08DC">
            <w:r w:rsidRPr="000A224D">
              <w:rPr>
                <w:rFonts w:eastAsia="仿宋_GB2312"/>
                <w:spacing w:val="266"/>
                <w:kern w:val="0"/>
                <w:sz w:val="32"/>
                <w:szCs w:val="30"/>
                <w:fitText w:val="2880" w:id="-1758719227"/>
              </w:rPr>
              <w:t>联系电</w:t>
            </w:r>
            <w:r w:rsidRPr="000A224D">
              <w:rPr>
                <w:rFonts w:eastAsia="仿宋_GB2312"/>
                <w:spacing w:val="2"/>
                <w:kern w:val="0"/>
                <w:sz w:val="32"/>
                <w:szCs w:val="30"/>
                <w:fitText w:val="2880" w:id="-1758719227"/>
              </w:rPr>
              <w:t>话</w:t>
            </w:r>
          </w:p>
        </w:tc>
        <w:tc>
          <w:tcPr>
            <w:tcW w:w="4273" w:type="dxa"/>
            <w:shd w:val="clear" w:color="auto" w:fill="auto"/>
          </w:tcPr>
          <w:p w:rsidR="006C76C9" w:rsidRPr="000A224D" w:rsidRDefault="00BE08DC">
            <w:pPr>
              <w:jc w:val="left"/>
              <w:rPr>
                <w:sz w:val="32"/>
                <w:szCs w:val="32"/>
              </w:rPr>
            </w:pPr>
            <w:r w:rsidRPr="000A224D">
              <w:rPr>
                <w:rFonts w:eastAsia="仿宋_GB2312"/>
                <w:sz w:val="32"/>
                <w:szCs w:val="32"/>
              </w:rPr>
              <w:t>：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13062528768</w:t>
            </w:r>
            <w:r w:rsidRPr="000A224D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         </w:t>
            </w:r>
          </w:p>
        </w:tc>
      </w:tr>
      <w:tr w:rsidR="006C76C9" w:rsidTr="000A224D">
        <w:trPr>
          <w:jc w:val="center"/>
        </w:trPr>
        <w:tc>
          <w:tcPr>
            <w:tcW w:w="3098" w:type="dxa"/>
            <w:shd w:val="clear" w:color="auto" w:fill="auto"/>
          </w:tcPr>
          <w:p w:rsidR="006C76C9" w:rsidRDefault="00BE08DC">
            <w:pPr>
              <w:rPr>
                <w:rFonts w:eastAsia="仿宋_GB2312"/>
                <w:sz w:val="32"/>
                <w:szCs w:val="30"/>
              </w:rPr>
            </w:pPr>
            <w:r w:rsidRPr="000A224D">
              <w:rPr>
                <w:rFonts w:eastAsia="仿宋_GB2312"/>
                <w:spacing w:val="266"/>
                <w:kern w:val="0"/>
                <w:sz w:val="32"/>
                <w:szCs w:val="30"/>
                <w:fitText w:val="2880" w:id="-1758719226"/>
              </w:rPr>
              <w:t>电子信</w:t>
            </w:r>
            <w:r w:rsidRPr="000A224D">
              <w:rPr>
                <w:rFonts w:eastAsia="仿宋_GB2312"/>
                <w:spacing w:val="2"/>
                <w:kern w:val="0"/>
                <w:sz w:val="32"/>
                <w:szCs w:val="30"/>
                <w:fitText w:val="2880" w:id="-1758719226"/>
              </w:rPr>
              <w:t>箱</w:t>
            </w:r>
          </w:p>
        </w:tc>
        <w:tc>
          <w:tcPr>
            <w:tcW w:w="4273" w:type="dxa"/>
            <w:shd w:val="clear" w:color="auto" w:fill="auto"/>
          </w:tcPr>
          <w:p w:rsidR="006C76C9" w:rsidRPr="000A224D" w:rsidRDefault="00BE08DC">
            <w:pPr>
              <w:jc w:val="left"/>
              <w:rPr>
                <w:sz w:val="32"/>
                <w:szCs w:val="32"/>
              </w:rPr>
            </w:pPr>
            <w:r w:rsidRPr="000A224D">
              <w:rPr>
                <w:rFonts w:eastAsia="仿宋_GB2312"/>
                <w:sz w:val="32"/>
                <w:szCs w:val="32"/>
              </w:rPr>
              <w:t>：</w:t>
            </w:r>
            <w:r w:rsidRPr="000A224D">
              <w:rPr>
                <w:rFonts w:eastAsia="仿宋_GB2312" w:hint="eastAsia"/>
                <w:spacing w:val="-14"/>
                <w:sz w:val="32"/>
                <w:szCs w:val="32"/>
                <w:u w:val="single"/>
              </w:rPr>
              <w:t>wangyaping@smartlink.com.cn</w:t>
            </w:r>
            <w:r w:rsidRPr="000A224D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     </w:t>
            </w:r>
          </w:p>
        </w:tc>
      </w:tr>
      <w:tr w:rsidR="006C76C9" w:rsidTr="000A224D">
        <w:trPr>
          <w:jc w:val="center"/>
        </w:trPr>
        <w:tc>
          <w:tcPr>
            <w:tcW w:w="3098" w:type="dxa"/>
            <w:shd w:val="clear" w:color="auto" w:fill="auto"/>
          </w:tcPr>
          <w:p w:rsidR="006C76C9" w:rsidRDefault="00BE08DC">
            <w:pPr>
              <w:rPr>
                <w:rFonts w:eastAsia="仿宋_GB2312"/>
                <w:sz w:val="32"/>
                <w:szCs w:val="30"/>
              </w:rPr>
            </w:pPr>
            <w:r w:rsidRPr="000A224D">
              <w:rPr>
                <w:rFonts w:eastAsia="仿宋_GB2312"/>
                <w:spacing w:val="96"/>
                <w:kern w:val="0"/>
                <w:sz w:val="32"/>
                <w:szCs w:val="30"/>
                <w:fitText w:val="2880" w:id="-1758719225"/>
              </w:rPr>
              <w:t>合作高校名</w:t>
            </w:r>
            <w:r w:rsidRPr="000A224D">
              <w:rPr>
                <w:rFonts w:eastAsia="仿宋_GB2312"/>
                <w:kern w:val="0"/>
                <w:sz w:val="32"/>
                <w:szCs w:val="30"/>
                <w:fitText w:val="2880" w:id="-1758719225"/>
              </w:rPr>
              <w:t>称</w:t>
            </w:r>
          </w:p>
        </w:tc>
        <w:tc>
          <w:tcPr>
            <w:tcW w:w="4273" w:type="dxa"/>
            <w:shd w:val="clear" w:color="auto" w:fill="auto"/>
          </w:tcPr>
          <w:p w:rsidR="006C76C9" w:rsidRPr="000A224D" w:rsidRDefault="00BE08DC">
            <w:pPr>
              <w:jc w:val="left"/>
              <w:rPr>
                <w:sz w:val="32"/>
                <w:szCs w:val="32"/>
              </w:rPr>
            </w:pPr>
            <w:r w:rsidRPr="000A224D">
              <w:rPr>
                <w:rFonts w:eastAsia="仿宋_GB2312"/>
                <w:sz w:val="32"/>
                <w:szCs w:val="32"/>
              </w:rPr>
              <w:t>：</w:t>
            </w:r>
            <w:r w:rsidRPr="000A224D">
              <w:rPr>
                <w:rFonts w:eastAsia="仿宋_GB2312" w:hint="eastAsia"/>
                <w:sz w:val="32"/>
                <w:szCs w:val="32"/>
                <w:u w:val="single"/>
              </w:rPr>
              <w:t>东南大学</w:t>
            </w:r>
            <w:r w:rsidRPr="000A224D">
              <w:rPr>
                <w:rFonts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0A224D">
              <w:rPr>
                <w:rFonts w:eastAsia="仿宋_GB2312"/>
                <w:spacing w:val="-14"/>
                <w:sz w:val="32"/>
                <w:szCs w:val="32"/>
                <w:u w:val="single"/>
              </w:rPr>
              <w:t xml:space="preserve"> </w:t>
            </w:r>
          </w:p>
        </w:tc>
      </w:tr>
    </w:tbl>
    <w:p w:rsidR="006C76C9" w:rsidRDefault="006C76C9">
      <w:pPr>
        <w:spacing w:beforeLines="100" w:before="312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40"/>
        <w:gridCol w:w="1260"/>
      </w:tblGrid>
      <w:tr w:rsidR="006C76C9">
        <w:trPr>
          <w:jc w:val="center"/>
        </w:trPr>
        <w:tc>
          <w:tcPr>
            <w:tcW w:w="4140" w:type="dxa"/>
          </w:tcPr>
          <w:p w:rsidR="006C76C9" w:rsidRDefault="00BE08DC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江苏省教育厅</w:t>
            </w:r>
          </w:p>
        </w:tc>
        <w:tc>
          <w:tcPr>
            <w:tcW w:w="1260" w:type="dxa"/>
            <w:vMerge w:val="restart"/>
            <w:vAlign w:val="center"/>
          </w:tcPr>
          <w:p w:rsidR="006C76C9" w:rsidRDefault="00BE08DC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制表</w:t>
            </w:r>
          </w:p>
        </w:tc>
      </w:tr>
      <w:tr w:rsidR="006C76C9">
        <w:trPr>
          <w:jc w:val="center"/>
        </w:trPr>
        <w:tc>
          <w:tcPr>
            <w:tcW w:w="4140" w:type="dxa"/>
          </w:tcPr>
          <w:p w:rsidR="006C76C9" w:rsidRDefault="00BE08DC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江苏省科学技术厅</w:t>
            </w:r>
          </w:p>
        </w:tc>
        <w:tc>
          <w:tcPr>
            <w:tcW w:w="1260" w:type="dxa"/>
            <w:vMerge/>
            <w:vAlign w:val="center"/>
          </w:tcPr>
          <w:p w:rsidR="006C76C9" w:rsidRDefault="006C76C9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6C76C9" w:rsidRDefault="00BE08DC">
      <w:pPr>
        <w:adjustRightInd w:val="0"/>
        <w:snapToGrid w:val="0"/>
        <w:spacing w:line="480" w:lineRule="exact"/>
        <w:jc w:val="center"/>
        <w:rPr>
          <w:sz w:val="32"/>
          <w:szCs w:val="32"/>
        </w:rPr>
      </w:pPr>
      <w:bookmarkStart w:id="0" w:name="_Hlk106357978"/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023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月</w:t>
      </w:r>
    </w:p>
    <w:bookmarkEnd w:id="0"/>
    <w:p w:rsidR="006C76C9" w:rsidRDefault="006C76C9">
      <w:pPr>
        <w:spacing w:beforeLines="50" w:before="156" w:line="380" w:lineRule="exact"/>
        <w:rPr>
          <w:szCs w:val="21"/>
        </w:rPr>
        <w:sectPr w:rsidR="006C76C9">
          <w:footerReference w:type="even" r:id="rId10"/>
          <w:footerReference w:type="default" r:id="rId11"/>
          <w:footerReference w:type="first" r:id="rId12"/>
          <w:pgSz w:w="11906" w:h="16838"/>
          <w:pgMar w:top="1418" w:right="1531" w:bottom="1701" w:left="1531" w:header="851" w:footer="992" w:gutter="0"/>
          <w:cols w:space="425"/>
          <w:docGrid w:type="lines" w:linePitch="312"/>
        </w:sectPr>
      </w:pP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7"/>
        <w:gridCol w:w="1354"/>
        <w:gridCol w:w="7"/>
        <w:gridCol w:w="56"/>
        <w:gridCol w:w="851"/>
        <w:gridCol w:w="1238"/>
        <w:gridCol w:w="888"/>
        <w:gridCol w:w="567"/>
        <w:gridCol w:w="1080"/>
        <w:gridCol w:w="196"/>
        <w:gridCol w:w="1511"/>
      </w:tblGrid>
      <w:tr w:rsidR="006C76C9" w:rsidTr="006619E7">
        <w:trPr>
          <w:trHeight w:val="567"/>
          <w:jc w:val="center"/>
        </w:trPr>
        <w:tc>
          <w:tcPr>
            <w:tcW w:w="1627" w:type="dxa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申请设站</w:t>
            </w:r>
          </w:p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单位名称</w:t>
            </w:r>
          </w:p>
        </w:tc>
        <w:tc>
          <w:tcPr>
            <w:tcW w:w="7748" w:type="dxa"/>
            <w:gridSpan w:val="10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鱼</w:t>
            </w:r>
            <w:proofErr w:type="gramStart"/>
            <w:r>
              <w:rPr>
                <w:rFonts w:eastAsia="仿宋_GB2312" w:hint="eastAsia"/>
                <w:sz w:val="24"/>
              </w:rPr>
              <w:t>快创领</w:t>
            </w:r>
            <w:proofErr w:type="gramEnd"/>
            <w:r>
              <w:rPr>
                <w:rFonts w:eastAsia="仿宋_GB2312" w:hint="eastAsia"/>
                <w:sz w:val="24"/>
              </w:rPr>
              <w:t>智能科技（南京）有限企业</w:t>
            </w:r>
          </w:p>
        </w:tc>
      </w:tr>
      <w:tr w:rsidR="006C76C9" w:rsidTr="006619E7">
        <w:trPr>
          <w:trHeight w:val="567"/>
          <w:jc w:val="center"/>
        </w:trPr>
        <w:tc>
          <w:tcPr>
            <w:tcW w:w="1627" w:type="dxa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企业规模</w:t>
            </w:r>
          </w:p>
        </w:tc>
        <w:tc>
          <w:tcPr>
            <w:tcW w:w="1361" w:type="dxa"/>
            <w:gridSpan w:val="2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中型</w:t>
            </w:r>
          </w:p>
        </w:tc>
        <w:tc>
          <w:tcPr>
            <w:tcW w:w="4680" w:type="dxa"/>
            <w:gridSpan w:val="6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是否公益性企业</w:t>
            </w:r>
          </w:p>
        </w:tc>
        <w:tc>
          <w:tcPr>
            <w:tcW w:w="1707" w:type="dxa"/>
            <w:gridSpan w:val="2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否</w:t>
            </w:r>
          </w:p>
        </w:tc>
      </w:tr>
      <w:tr w:rsidR="006C76C9" w:rsidTr="006619E7">
        <w:trPr>
          <w:trHeight w:val="567"/>
          <w:jc w:val="center"/>
        </w:trPr>
        <w:tc>
          <w:tcPr>
            <w:tcW w:w="1627" w:type="dxa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企业信用</w:t>
            </w:r>
          </w:p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361" w:type="dxa"/>
            <w:gridSpan w:val="2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AAA</w:t>
            </w:r>
          </w:p>
        </w:tc>
        <w:tc>
          <w:tcPr>
            <w:tcW w:w="4680" w:type="dxa"/>
            <w:gridSpan w:val="6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上年度研发经费投入（万）</w:t>
            </w:r>
          </w:p>
        </w:tc>
        <w:tc>
          <w:tcPr>
            <w:tcW w:w="1707" w:type="dxa"/>
            <w:gridSpan w:val="2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10428.88</w:t>
            </w:r>
          </w:p>
        </w:tc>
      </w:tr>
      <w:tr w:rsidR="006C76C9" w:rsidTr="006619E7">
        <w:trPr>
          <w:trHeight w:val="567"/>
          <w:jc w:val="center"/>
        </w:trPr>
        <w:tc>
          <w:tcPr>
            <w:tcW w:w="1627" w:type="dxa"/>
            <w:vMerge w:val="restart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专职研发</w:t>
            </w:r>
          </w:p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人员</w:t>
            </w:r>
            <w:r>
              <w:rPr>
                <w:rFonts w:eastAsia="仿宋_GB2312"/>
                <w:sz w:val="24"/>
              </w:rPr>
              <w:t>(</w:t>
            </w:r>
            <w:r>
              <w:rPr>
                <w:rFonts w:eastAsia="仿宋_GB2312"/>
                <w:sz w:val="24"/>
              </w:rPr>
              <w:t>人</w:t>
            </w:r>
            <w:r>
              <w:rPr>
                <w:rFonts w:eastAsia="仿宋_GB2312"/>
                <w:sz w:val="24"/>
              </w:rPr>
              <w:t>)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264</w:t>
            </w:r>
          </w:p>
        </w:tc>
        <w:tc>
          <w:tcPr>
            <w:tcW w:w="907" w:type="dxa"/>
            <w:gridSpan w:val="2"/>
            <w:vMerge w:val="restart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其中</w:t>
            </w:r>
          </w:p>
        </w:tc>
        <w:tc>
          <w:tcPr>
            <w:tcW w:w="1238" w:type="dxa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博士</w:t>
            </w:r>
          </w:p>
        </w:tc>
        <w:tc>
          <w:tcPr>
            <w:tcW w:w="1455" w:type="dxa"/>
            <w:gridSpan w:val="2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硕士</w:t>
            </w:r>
          </w:p>
        </w:tc>
        <w:tc>
          <w:tcPr>
            <w:tcW w:w="1511" w:type="dxa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38</w:t>
            </w:r>
          </w:p>
        </w:tc>
      </w:tr>
      <w:tr w:rsidR="006C76C9" w:rsidTr="006619E7">
        <w:trPr>
          <w:trHeight w:val="567"/>
          <w:jc w:val="center"/>
        </w:trPr>
        <w:tc>
          <w:tcPr>
            <w:tcW w:w="1627" w:type="dxa"/>
            <w:vMerge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7" w:type="dxa"/>
            <w:gridSpan w:val="2"/>
            <w:vMerge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8" w:type="dxa"/>
            <w:vAlign w:val="center"/>
          </w:tcPr>
          <w:p w:rsidR="006C76C9" w:rsidRDefault="00BE08DC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高级职称</w:t>
            </w:r>
          </w:p>
        </w:tc>
        <w:tc>
          <w:tcPr>
            <w:tcW w:w="1455" w:type="dxa"/>
            <w:gridSpan w:val="2"/>
            <w:vAlign w:val="center"/>
          </w:tcPr>
          <w:p w:rsidR="006C76C9" w:rsidRDefault="00BE08DC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6C76C9" w:rsidRDefault="00BE08DC">
            <w:pPr>
              <w:ind w:left="12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中级职称</w:t>
            </w:r>
          </w:p>
        </w:tc>
        <w:tc>
          <w:tcPr>
            <w:tcW w:w="1511" w:type="dxa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</w:tr>
      <w:tr w:rsidR="006C76C9" w:rsidTr="006619E7">
        <w:trPr>
          <w:trHeight w:val="567"/>
          <w:jc w:val="center"/>
        </w:trPr>
        <w:tc>
          <w:tcPr>
            <w:tcW w:w="9375" w:type="dxa"/>
            <w:gridSpan w:val="11"/>
            <w:vAlign w:val="center"/>
          </w:tcPr>
          <w:p w:rsidR="006C76C9" w:rsidRDefault="00BE08D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市、县级科技创新平台情况</w:t>
            </w:r>
          </w:p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（重点实验室、工程技术研究中心、企业技术中心等，需提供</w:t>
            </w:r>
            <w:r>
              <w:rPr>
                <w:rFonts w:eastAsia="仿宋_GB2312" w:hint="eastAsia"/>
                <w:sz w:val="24"/>
              </w:rPr>
              <w:t>立项批文佐证</w:t>
            </w:r>
            <w:r>
              <w:rPr>
                <w:rFonts w:eastAsia="仿宋_GB2312"/>
                <w:sz w:val="24"/>
              </w:rPr>
              <w:t>材料）</w:t>
            </w:r>
          </w:p>
        </w:tc>
      </w:tr>
      <w:tr w:rsidR="006C76C9" w:rsidTr="006619E7">
        <w:trPr>
          <w:trHeight w:val="655"/>
          <w:jc w:val="center"/>
        </w:trPr>
        <w:tc>
          <w:tcPr>
            <w:tcW w:w="2981" w:type="dxa"/>
            <w:gridSpan w:val="2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6C76C9" w:rsidTr="006619E7">
        <w:trPr>
          <w:trHeight w:val="584"/>
          <w:jc w:val="center"/>
        </w:trPr>
        <w:tc>
          <w:tcPr>
            <w:tcW w:w="2981" w:type="dxa"/>
            <w:gridSpan w:val="2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工程技术研究中心</w:t>
            </w:r>
          </w:p>
        </w:tc>
        <w:tc>
          <w:tcPr>
            <w:tcW w:w="3040" w:type="dxa"/>
            <w:gridSpan w:val="5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南京市</w:t>
            </w:r>
          </w:p>
        </w:tc>
        <w:tc>
          <w:tcPr>
            <w:tcW w:w="1843" w:type="dxa"/>
            <w:gridSpan w:val="3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南京市科学技术局</w:t>
            </w:r>
          </w:p>
        </w:tc>
        <w:tc>
          <w:tcPr>
            <w:tcW w:w="1511" w:type="dxa"/>
            <w:vAlign w:val="center"/>
          </w:tcPr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2023.5.29</w:t>
            </w:r>
          </w:p>
        </w:tc>
      </w:tr>
      <w:tr w:rsidR="006C76C9" w:rsidTr="006619E7">
        <w:trPr>
          <w:trHeight w:val="606"/>
          <w:jc w:val="center"/>
        </w:trPr>
        <w:tc>
          <w:tcPr>
            <w:tcW w:w="2981" w:type="dxa"/>
            <w:gridSpan w:val="2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6C9" w:rsidTr="006619E7">
        <w:trPr>
          <w:trHeight w:val="1201"/>
          <w:jc w:val="center"/>
        </w:trPr>
        <w:tc>
          <w:tcPr>
            <w:tcW w:w="9375" w:type="dxa"/>
            <w:gridSpan w:val="11"/>
            <w:vAlign w:val="center"/>
          </w:tcPr>
          <w:p w:rsidR="006C76C9" w:rsidRDefault="00BE08D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可获得优先支持情况</w:t>
            </w:r>
          </w:p>
          <w:p w:rsidR="006C76C9" w:rsidRDefault="00BE08D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（院士工作站、博士后科研工作站，省级及以上企业重点实验室、工程技术研究中心、企业技术中心、产业技术研究院、人文社科基地等，需提供</w:t>
            </w:r>
            <w:r>
              <w:rPr>
                <w:rFonts w:eastAsia="仿宋_GB2312" w:hint="eastAsia"/>
                <w:sz w:val="24"/>
              </w:rPr>
              <w:t>立项批文佐证</w:t>
            </w:r>
            <w:r>
              <w:rPr>
                <w:rFonts w:eastAsia="仿宋_GB2312"/>
                <w:sz w:val="24"/>
              </w:rPr>
              <w:t>材料）</w:t>
            </w:r>
          </w:p>
        </w:tc>
      </w:tr>
      <w:tr w:rsidR="006C76C9" w:rsidTr="006619E7">
        <w:trPr>
          <w:trHeight w:val="614"/>
          <w:jc w:val="center"/>
        </w:trPr>
        <w:tc>
          <w:tcPr>
            <w:tcW w:w="2981" w:type="dxa"/>
            <w:gridSpan w:val="2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平台名称</w:t>
            </w:r>
          </w:p>
        </w:tc>
        <w:tc>
          <w:tcPr>
            <w:tcW w:w="3040" w:type="dxa"/>
            <w:gridSpan w:val="5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平台类别、级别</w:t>
            </w:r>
          </w:p>
        </w:tc>
        <w:tc>
          <w:tcPr>
            <w:tcW w:w="1843" w:type="dxa"/>
            <w:gridSpan w:val="3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批准单位</w:t>
            </w:r>
          </w:p>
        </w:tc>
        <w:tc>
          <w:tcPr>
            <w:tcW w:w="1511" w:type="dxa"/>
            <w:vAlign w:val="center"/>
          </w:tcPr>
          <w:p w:rsidR="006C76C9" w:rsidRDefault="00BE08D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  <w:proofErr w:type="gramStart"/>
            <w:r>
              <w:rPr>
                <w:rFonts w:eastAsia="仿宋_GB2312"/>
                <w:sz w:val="24"/>
              </w:rPr>
              <w:t>批时间</w:t>
            </w:r>
            <w:proofErr w:type="gramEnd"/>
          </w:p>
        </w:tc>
      </w:tr>
      <w:tr w:rsidR="006C76C9" w:rsidTr="006619E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6C9" w:rsidTr="006619E7">
        <w:trPr>
          <w:trHeight w:hRule="exact" w:val="510"/>
          <w:jc w:val="center"/>
        </w:trPr>
        <w:tc>
          <w:tcPr>
            <w:tcW w:w="2981" w:type="dxa"/>
            <w:gridSpan w:val="2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40" w:type="dxa"/>
            <w:gridSpan w:val="5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C76C9" w:rsidRDefault="006C76C9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6C76C9" w:rsidTr="006619E7">
        <w:trPr>
          <w:trHeight w:val="1036"/>
          <w:jc w:val="center"/>
        </w:trPr>
        <w:tc>
          <w:tcPr>
            <w:tcW w:w="9375" w:type="dxa"/>
            <w:gridSpan w:val="11"/>
          </w:tcPr>
          <w:p w:rsidR="006C76C9" w:rsidRDefault="00BE08DC" w:rsidP="006619E7">
            <w:pPr>
              <w:spacing w:line="480" w:lineRule="exact"/>
              <w:jc w:val="left"/>
              <w:rPr>
                <w:szCs w:val="21"/>
              </w:rPr>
            </w:pPr>
            <w:r>
              <w:rPr>
                <w:rFonts w:eastAsia="仿宋_GB2312"/>
                <w:sz w:val="24"/>
              </w:rPr>
              <w:t>申请设站单位与高校已有的合作基础（分条目列出，限</w:t>
            </w:r>
            <w:r>
              <w:rPr>
                <w:rFonts w:eastAsia="仿宋_GB2312"/>
                <w:sz w:val="24"/>
              </w:rPr>
              <w:t>1000</w:t>
            </w:r>
            <w:r>
              <w:rPr>
                <w:rFonts w:eastAsia="仿宋_GB2312"/>
                <w:sz w:val="24"/>
              </w:rPr>
              <w:t>字以内。其中，联合承担的纵向和横向项目或合作成果</w:t>
            </w:r>
            <w:proofErr w:type="gramStart"/>
            <w:r>
              <w:rPr>
                <w:rFonts w:eastAsia="仿宋_GB2312"/>
                <w:sz w:val="24"/>
              </w:rPr>
              <w:t>限填近</w:t>
            </w:r>
            <w:proofErr w:type="gramEnd"/>
            <w:r>
              <w:rPr>
                <w:rFonts w:eastAsia="仿宋_GB2312"/>
                <w:sz w:val="24"/>
              </w:rPr>
              <w:t>三年具有代表性的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项，需填写项目名称、批准单位、获批时间、项目内容、取得的成果等内容，并提供</w:t>
            </w:r>
            <w:r>
              <w:rPr>
                <w:rFonts w:eastAsia="仿宋_GB2312" w:hint="eastAsia"/>
                <w:sz w:val="24"/>
              </w:rPr>
              <w:t>佐证</w:t>
            </w:r>
            <w:r>
              <w:rPr>
                <w:rFonts w:eastAsia="仿宋_GB2312"/>
                <w:sz w:val="24"/>
              </w:rPr>
              <w:t>材料）</w:t>
            </w:r>
          </w:p>
        </w:tc>
      </w:tr>
      <w:tr w:rsidR="006C76C9" w:rsidTr="006619E7">
        <w:trPr>
          <w:trHeight w:val="227"/>
          <w:jc w:val="center"/>
        </w:trPr>
        <w:tc>
          <w:tcPr>
            <w:tcW w:w="9375" w:type="dxa"/>
            <w:gridSpan w:val="11"/>
          </w:tcPr>
          <w:p w:rsidR="006C76C9" w:rsidRDefault="00BE08DC" w:rsidP="006619E7">
            <w:pPr>
              <w:spacing w:line="480" w:lineRule="exact"/>
              <w:ind w:firstLineChars="200" w:firstLine="482"/>
              <w:jc w:val="left"/>
              <w:rPr>
                <w:rFonts w:eastAsia="仿宋_GB2312"/>
                <w:sz w:val="24"/>
              </w:rPr>
            </w:pPr>
            <w:r w:rsidRPr="000A224D">
              <w:rPr>
                <w:rFonts w:eastAsia="仿宋_GB2312" w:hint="eastAsia"/>
                <w:b/>
                <w:sz w:val="24"/>
              </w:rPr>
              <w:t>鱼</w:t>
            </w:r>
            <w:proofErr w:type="gramStart"/>
            <w:r w:rsidRPr="000A224D">
              <w:rPr>
                <w:rFonts w:eastAsia="仿宋_GB2312" w:hint="eastAsia"/>
                <w:b/>
                <w:sz w:val="24"/>
              </w:rPr>
              <w:t>快创领</w:t>
            </w:r>
            <w:proofErr w:type="gramEnd"/>
            <w:r w:rsidRPr="000A224D">
              <w:rPr>
                <w:rFonts w:eastAsia="仿宋_GB2312" w:hint="eastAsia"/>
                <w:b/>
                <w:sz w:val="24"/>
              </w:rPr>
              <w:t>智能科技（南京）有限公司</w:t>
            </w:r>
            <w:r>
              <w:rPr>
                <w:rFonts w:eastAsia="仿宋_GB2312" w:hint="eastAsia"/>
                <w:sz w:val="24"/>
              </w:rPr>
              <w:t>与东南大学就智能网联汽车、网络安全、大数据处理等方向已开展多项纵向、横向课题合作，基于海量车联网数据（车辆感知数据、驾驶行为数据、车辆产业数据</w:t>
            </w:r>
            <w:bookmarkStart w:id="1" w:name="_GoBack"/>
            <w:bookmarkEnd w:id="1"/>
            <w:r>
              <w:rPr>
                <w:rFonts w:eastAsia="仿宋_GB2312" w:hint="eastAsia"/>
                <w:sz w:val="24"/>
              </w:rPr>
              <w:t>等）开展大量技术攻关工作，研发了一系列平台功能并形成了一系列科研成果。</w:t>
            </w:r>
          </w:p>
          <w:p w:rsidR="006C76C9" w:rsidRPr="006619E7" w:rsidRDefault="00BE08DC" w:rsidP="006619E7">
            <w:pPr>
              <w:spacing w:line="480" w:lineRule="exact"/>
              <w:ind w:firstLineChars="200" w:firstLine="482"/>
              <w:jc w:val="left"/>
              <w:rPr>
                <w:rFonts w:eastAsia="仿宋_GB2312"/>
                <w:b/>
                <w:sz w:val="24"/>
              </w:rPr>
            </w:pPr>
            <w:r w:rsidRPr="006619E7">
              <w:rPr>
                <w:rFonts w:eastAsia="仿宋_GB2312" w:hint="eastAsia"/>
                <w:b/>
                <w:sz w:val="24"/>
              </w:rPr>
              <w:t>项目</w:t>
            </w:r>
            <w:r w:rsidRPr="006619E7">
              <w:rPr>
                <w:rFonts w:eastAsia="仿宋_GB2312" w:hint="eastAsia"/>
                <w:b/>
                <w:sz w:val="24"/>
              </w:rPr>
              <w:t>1</w:t>
            </w:r>
            <w:r w:rsidRPr="006619E7">
              <w:rPr>
                <w:rFonts w:eastAsia="仿宋_GB2312" w:hint="eastAsia"/>
                <w:b/>
                <w:sz w:val="24"/>
              </w:rPr>
              <w:t>：智能网联汽车网络安全防护系统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项目来源：</w:t>
            </w:r>
            <w:r>
              <w:rPr>
                <w:rFonts w:eastAsia="仿宋_GB2312" w:hint="eastAsia"/>
                <w:sz w:val="24"/>
              </w:rPr>
              <w:t>2023</w:t>
            </w:r>
            <w:r>
              <w:rPr>
                <w:rFonts w:eastAsia="仿宋_GB2312" w:hint="eastAsia"/>
                <w:sz w:val="24"/>
              </w:rPr>
              <w:t>年度江苏省工业和信息产业转型升级专项资金关键核心技术（装备）攻关项目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批准单位：江苏省工信厅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获批时间：</w:t>
            </w:r>
            <w:r>
              <w:rPr>
                <w:rFonts w:eastAsia="仿宋_GB2312" w:hint="eastAsia"/>
                <w:sz w:val="24"/>
              </w:rPr>
              <w:t>2023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月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研究内容：面向车路协同的智能网联汽车网络安全测试场景研究，项目关键技术主要分为智能网</w:t>
            </w:r>
            <w:proofErr w:type="gramStart"/>
            <w:r>
              <w:rPr>
                <w:rFonts w:eastAsia="仿宋_GB2312" w:hint="eastAsia"/>
                <w:sz w:val="24"/>
              </w:rPr>
              <w:t>联云管端</w:t>
            </w:r>
            <w:proofErr w:type="gramEnd"/>
            <w:r>
              <w:rPr>
                <w:rFonts w:eastAsia="仿宋_GB2312" w:hint="eastAsia"/>
                <w:sz w:val="24"/>
              </w:rPr>
              <w:t>一体化安全系统研制、基于关键部件的智能网联汽车内</w:t>
            </w:r>
            <w:proofErr w:type="gramStart"/>
            <w:r>
              <w:rPr>
                <w:rFonts w:eastAsia="仿宋_GB2312" w:hint="eastAsia"/>
                <w:sz w:val="24"/>
              </w:rPr>
              <w:t>生安</w:t>
            </w:r>
            <w:proofErr w:type="gramEnd"/>
            <w:r>
              <w:rPr>
                <w:rFonts w:eastAsia="仿宋_GB2312" w:hint="eastAsia"/>
                <w:sz w:val="24"/>
              </w:rPr>
              <w:t>全保障技术、智能网联汽车网络安全防护系统整车集成、面向车路协同的智能网联汽车网络安全测试场景研究、智能网联汽车攻防对抗靶测试场技术路线五大子模块。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研究成果：该项目通过建立不同泛化场景下车联网安全保障体系，填补国内相关研究的空白，满足车联网网络更加多样复杂的安全需求，从而大幅提高车辆运行的效率，为车联网健康发展保驾护航。</w:t>
            </w:r>
          </w:p>
          <w:p w:rsidR="006619E7" w:rsidRDefault="006619E7" w:rsidP="006619E7">
            <w:pPr>
              <w:spacing w:line="480" w:lineRule="exact"/>
              <w:ind w:left="420"/>
              <w:jc w:val="left"/>
              <w:rPr>
                <w:rFonts w:eastAsia="仿宋_GB2312"/>
                <w:sz w:val="24"/>
              </w:rPr>
            </w:pPr>
          </w:p>
          <w:p w:rsidR="006C76C9" w:rsidRPr="006619E7" w:rsidRDefault="00BE08DC" w:rsidP="006619E7">
            <w:pPr>
              <w:spacing w:line="480" w:lineRule="exact"/>
              <w:ind w:firstLineChars="200" w:firstLine="482"/>
              <w:jc w:val="left"/>
              <w:rPr>
                <w:rFonts w:eastAsia="仿宋_GB2312"/>
                <w:b/>
                <w:sz w:val="24"/>
              </w:rPr>
            </w:pPr>
            <w:r w:rsidRPr="006619E7">
              <w:rPr>
                <w:rFonts w:eastAsia="仿宋_GB2312" w:hint="eastAsia"/>
                <w:b/>
                <w:sz w:val="24"/>
              </w:rPr>
              <w:t>项目</w:t>
            </w:r>
            <w:r w:rsidRPr="006619E7">
              <w:rPr>
                <w:rFonts w:eastAsia="仿宋_GB2312" w:hint="eastAsia"/>
                <w:b/>
                <w:sz w:val="24"/>
              </w:rPr>
              <w:t>2</w:t>
            </w:r>
            <w:r w:rsidRPr="006619E7">
              <w:rPr>
                <w:rFonts w:eastAsia="仿宋_GB2312" w:hint="eastAsia"/>
                <w:b/>
                <w:sz w:val="24"/>
              </w:rPr>
              <w:t>：高</w:t>
            </w:r>
            <w:proofErr w:type="gramStart"/>
            <w:r w:rsidRPr="006619E7">
              <w:rPr>
                <w:rFonts w:eastAsia="仿宋_GB2312" w:hint="eastAsia"/>
                <w:b/>
                <w:sz w:val="24"/>
              </w:rPr>
              <w:t>精度重卡载重</w:t>
            </w:r>
            <w:proofErr w:type="gramEnd"/>
            <w:r w:rsidRPr="006619E7">
              <w:rPr>
                <w:rFonts w:eastAsia="仿宋_GB2312" w:hint="eastAsia"/>
                <w:b/>
                <w:sz w:val="24"/>
              </w:rPr>
              <w:t>估计系统——企业横向课题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批准单位：鱼</w:t>
            </w:r>
            <w:proofErr w:type="gramStart"/>
            <w:r>
              <w:rPr>
                <w:rFonts w:eastAsia="仿宋_GB2312" w:hint="eastAsia"/>
                <w:sz w:val="24"/>
              </w:rPr>
              <w:t>快创领</w:t>
            </w:r>
            <w:proofErr w:type="gramEnd"/>
            <w:r>
              <w:rPr>
                <w:rFonts w:eastAsia="仿宋_GB2312" w:hint="eastAsia"/>
                <w:sz w:val="24"/>
              </w:rPr>
              <w:t>智能科技（南京）有限公司。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获批时间：</w:t>
            </w:r>
            <w:r>
              <w:rPr>
                <w:rFonts w:eastAsia="仿宋_GB2312" w:hint="eastAsia"/>
                <w:sz w:val="24"/>
              </w:rPr>
              <w:t>2023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研究内容：基于稀疏车联网信息开展重型货运车辆的整车载</w:t>
            </w:r>
            <w:proofErr w:type="gramStart"/>
            <w:r>
              <w:rPr>
                <w:rFonts w:eastAsia="仿宋_GB2312" w:hint="eastAsia"/>
                <w:sz w:val="24"/>
              </w:rPr>
              <w:t>重估计</w:t>
            </w:r>
            <w:proofErr w:type="gramEnd"/>
            <w:r>
              <w:rPr>
                <w:rFonts w:eastAsia="仿宋_GB2312" w:hint="eastAsia"/>
                <w:sz w:val="24"/>
              </w:rPr>
              <w:t>研究，具体内容包括：搭建包括驱动力、坡道阻力、加速阻力等在内的</w:t>
            </w:r>
            <w:proofErr w:type="gramStart"/>
            <w:r>
              <w:rPr>
                <w:rFonts w:eastAsia="仿宋_GB2312" w:hint="eastAsia"/>
                <w:sz w:val="24"/>
              </w:rPr>
              <w:t>重卡纵向</w:t>
            </w:r>
            <w:proofErr w:type="gramEnd"/>
            <w:r>
              <w:rPr>
                <w:rFonts w:eastAsia="仿宋_GB2312" w:hint="eastAsia"/>
                <w:sz w:val="24"/>
              </w:rPr>
              <w:t>动力学模型，并基于车联网数据对关键车辆参数进行标定与辨识，提出基于递推最小二乘的车辆载重估计方法；研究</w:t>
            </w:r>
            <w:proofErr w:type="gramStart"/>
            <w:r>
              <w:rPr>
                <w:rFonts w:eastAsia="仿宋_GB2312" w:hint="eastAsia"/>
                <w:sz w:val="24"/>
              </w:rPr>
              <w:t>异常重卡行车</w:t>
            </w:r>
            <w:proofErr w:type="gramEnd"/>
            <w:r>
              <w:rPr>
                <w:rFonts w:eastAsia="仿宋_GB2312" w:hint="eastAsia"/>
                <w:sz w:val="24"/>
              </w:rPr>
              <w:t>数据并开展异常数据检测与清洗工作，针对行车坡道数据进行多参数关联与校正工作；搭建载重估计模型并开展载重估计工作，研究准确载重估计的影响因素与影响机理，提出准确载重估计的数据特征与基本要求。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研究成果：该项目提出的载重估计系统在车辆驱动工况下能够实现准确率大于</w:t>
            </w:r>
            <w:r>
              <w:rPr>
                <w:rFonts w:eastAsia="仿宋_GB2312" w:hint="eastAsia"/>
                <w:sz w:val="24"/>
              </w:rPr>
              <w:t>90%</w:t>
            </w:r>
            <w:r>
              <w:rPr>
                <w:rFonts w:eastAsia="仿宋_GB2312" w:hint="eastAsia"/>
                <w:sz w:val="24"/>
              </w:rPr>
              <w:t>的整车载重估计，且全行程最终载重估计结果误差稳定在</w:t>
            </w:r>
            <w:r>
              <w:rPr>
                <w:rFonts w:eastAsia="仿宋_GB2312" w:hint="eastAsia"/>
                <w:sz w:val="24"/>
              </w:rPr>
              <w:t>10%</w:t>
            </w:r>
            <w:r>
              <w:rPr>
                <w:rFonts w:eastAsia="仿宋_GB2312" w:hint="eastAsia"/>
                <w:sz w:val="24"/>
              </w:rPr>
              <w:t>以内。</w:t>
            </w:r>
          </w:p>
          <w:p w:rsidR="006C76C9" w:rsidRDefault="006C76C9" w:rsidP="006619E7">
            <w:pPr>
              <w:spacing w:line="480" w:lineRule="exact"/>
              <w:jc w:val="left"/>
              <w:rPr>
                <w:rFonts w:eastAsia="仿宋_GB2312"/>
                <w:sz w:val="24"/>
              </w:rPr>
            </w:pPr>
          </w:p>
          <w:p w:rsidR="006C76C9" w:rsidRPr="006619E7" w:rsidRDefault="00BE08DC" w:rsidP="006619E7">
            <w:pPr>
              <w:spacing w:line="480" w:lineRule="exact"/>
              <w:ind w:firstLineChars="200" w:firstLine="482"/>
              <w:jc w:val="left"/>
              <w:rPr>
                <w:rFonts w:eastAsia="仿宋_GB2312"/>
                <w:b/>
                <w:sz w:val="24"/>
              </w:rPr>
            </w:pPr>
            <w:r w:rsidRPr="006619E7">
              <w:rPr>
                <w:rFonts w:eastAsia="仿宋_GB2312" w:hint="eastAsia"/>
                <w:b/>
                <w:sz w:val="24"/>
              </w:rPr>
              <w:t>项目</w:t>
            </w:r>
            <w:r w:rsidRPr="006619E7">
              <w:rPr>
                <w:rFonts w:eastAsia="仿宋_GB2312" w:hint="eastAsia"/>
                <w:b/>
                <w:sz w:val="24"/>
              </w:rPr>
              <w:t>3</w:t>
            </w:r>
            <w:r w:rsidRPr="006619E7">
              <w:rPr>
                <w:rFonts w:eastAsia="仿宋_GB2312" w:hint="eastAsia"/>
                <w:b/>
                <w:sz w:val="24"/>
              </w:rPr>
              <w:t>：重型货车节油车速规划及算法设计——企业横向课题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批准单位：鱼</w:t>
            </w:r>
            <w:proofErr w:type="gramStart"/>
            <w:r>
              <w:rPr>
                <w:rFonts w:eastAsia="仿宋_GB2312" w:hint="eastAsia"/>
                <w:sz w:val="24"/>
              </w:rPr>
              <w:t>快创领</w:t>
            </w:r>
            <w:proofErr w:type="gramEnd"/>
            <w:r>
              <w:rPr>
                <w:rFonts w:eastAsia="仿宋_GB2312" w:hint="eastAsia"/>
                <w:sz w:val="24"/>
              </w:rPr>
              <w:t>智能科技（南京）有限公司。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获批时间：</w:t>
            </w:r>
            <w:r>
              <w:rPr>
                <w:rFonts w:eastAsia="仿宋_GB2312" w:hint="eastAsia"/>
                <w:sz w:val="24"/>
              </w:rPr>
              <w:t>2023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月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研究内容：针对重型货车节油需求，基于</w:t>
            </w:r>
            <w:r>
              <w:rPr>
                <w:rFonts w:eastAsia="仿宋_GB2312" w:hint="eastAsia"/>
                <w:sz w:val="24"/>
              </w:rPr>
              <w:t>ADAS</w:t>
            </w:r>
            <w:r>
              <w:rPr>
                <w:rFonts w:eastAsia="仿宋_GB2312" w:hint="eastAsia"/>
                <w:sz w:val="24"/>
              </w:rPr>
              <w:t>地图数据，利用动态规划算法进行车辆节油车速与档位规划，降低重型货车行驶油耗，具体包括：高精度</w:t>
            </w:r>
            <w:proofErr w:type="gramStart"/>
            <w:r>
              <w:rPr>
                <w:rFonts w:eastAsia="仿宋_GB2312" w:hint="eastAsia"/>
                <w:sz w:val="24"/>
              </w:rPr>
              <w:t>重卡能耗</w:t>
            </w:r>
            <w:proofErr w:type="gramEnd"/>
            <w:r>
              <w:rPr>
                <w:rFonts w:eastAsia="仿宋_GB2312" w:hint="eastAsia"/>
                <w:sz w:val="24"/>
              </w:rPr>
              <w:t>模型：利用实际行驶数据对车辆关键参数进行修正，并基于车辆纵向动力学构建整车能耗</w:t>
            </w:r>
            <w:r>
              <w:rPr>
                <w:rFonts w:eastAsia="仿宋_GB2312" w:hint="eastAsia"/>
                <w:sz w:val="24"/>
              </w:rPr>
              <w:lastRenderedPageBreak/>
              <w:t>模型；考虑到动态规划算法时间复杂度</w:t>
            </w:r>
            <w:proofErr w:type="gramStart"/>
            <w:r>
              <w:rPr>
                <w:rFonts w:eastAsia="仿宋_GB2312" w:hint="eastAsia"/>
                <w:sz w:val="24"/>
              </w:rPr>
              <w:t>随状态维</w:t>
            </w:r>
            <w:proofErr w:type="gramEnd"/>
            <w:r>
              <w:rPr>
                <w:rFonts w:eastAsia="仿宋_GB2312" w:hint="eastAsia"/>
                <w:sz w:val="24"/>
              </w:rPr>
              <w:t>度指数增长的缺陷，提出车速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档位分层优化架构；根据车辆动力学约束进行路网重建，大幅降低算法运行时间。</w:t>
            </w:r>
          </w:p>
          <w:p w:rsidR="006C76C9" w:rsidRDefault="00BE08DC" w:rsidP="006619E7">
            <w:pPr>
              <w:numPr>
                <w:ilvl w:val="0"/>
                <w:numId w:val="1"/>
              </w:numPr>
              <w:spacing w:line="480" w:lineRule="exact"/>
              <w:ind w:left="0" w:firstLine="42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研究成果：基于实</w:t>
            </w:r>
            <w:proofErr w:type="gramStart"/>
            <w:r>
              <w:rPr>
                <w:rFonts w:eastAsia="仿宋_GB2312" w:hint="eastAsia"/>
                <w:sz w:val="24"/>
              </w:rPr>
              <w:t>车数据</w:t>
            </w:r>
            <w:proofErr w:type="gramEnd"/>
            <w:r>
              <w:rPr>
                <w:rFonts w:eastAsia="仿宋_GB2312" w:hint="eastAsia"/>
                <w:sz w:val="24"/>
              </w:rPr>
              <w:t>测试并与实际驾驶员数据对比，本项目设计的车速规划算法全行程节省油耗量可达</w:t>
            </w:r>
            <w:r>
              <w:rPr>
                <w:rFonts w:eastAsia="仿宋_GB2312" w:hint="eastAsia"/>
                <w:sz w:val="24"/>
              </w:rPr>
              <w:t>4.3%</w:t>
            </w:r>
            <w:r>
              <w:rPr>
                <w:rFonts w:eastAsia="仿宋_GB2312" w:hint="eastAsia"/>
                <w:sz w:val="24"/>
              </w:rPr>
              <w:t>，本项目提出的分层优化架构算法运行时间仅为传统动态规划算法的</w:t>
            </w:r>
            <w:r>
              <w:rPr>
                <w:rFonts w:eastAsia="仿宋_GB2312" w:hint="eastAsia"/>
                <w:sz w:val="24"/>
              </w:rPr>
              <w:t>1/10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6C76C9" w:rsidRDefault="006C76C9" w:rsidP="006619E7">
            <w:pPr>
              <w:spacing w:line="48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6C76C9" w:rsidTr="006619E7">
        <w:trPr>
          <w:trHeight w:val="566"/>
          <w:jc w:val="center"/>
        </w:trPr>
        <w:tc>
          <w:tcPr>
            <w:tcW w:w="9375" w:type="dxa"/>
            <w:gridSpan w:val="11"/>
            <w:vAlign w:val="center"/>
          </w:tcPr>
          <w:p w:rsidR="006C76C9" w:rsidRDefault="00BE08DC" w:rsidP="006619E7">
            <w:pPr>
              <w:spacing w:line="480" w:lineRule="exact"/>
              <w:jc w:val="center"/>
              <w:rPr>
                <w:szCs w:val="21"/>
              </w:rPr>
            </w:pPr>
            <w:r>
              <w:rPr>
                <w:rFonts w:eastAsia="仿宋_GB2312"/>
                <w:sz w:val="24"/>
              </w:rPr>
              <w:lastRenderedPageBreak/>
              <w:t>工作站条件保障情况</w:t>
            </w:r>
          </w:p>
        </w:tc>
      </w:tr>
      <w:tr w:rsidR="006C76C9" w:rsidTr="006619E7">
        <w:trPr>
          <w:trHeight w:val="90"/>
          <w:jc w:val="center"/>
        </w:trPr>
        <w:tc>
          <w:tcPr>
            <w:tcW w:w="9375" w:type="dxa"/>
            <w:gridSpan w:val="11"/>
          </w:tcPr>
          <w:p w:rsidR="006C76C9" w:rsidRDefault="00BE08DC" w:rsidP="006619E7">
            <w:pPr>
              <w:spacing w:line="48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1.</w:t>
            </w:r>
            <w:r>
              <w:rPr>
                <w:rFonts w:eastAsia="仿宋_GB2312"/>
                <w:b/>
                <w:bCs/>
                <w:sz w:val="24"/>
              </w:rPr>
              <w:t>人员保障条件（包括能指导研究生科研创新实践的专业技术或管理专家等情况）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鱼</w:t>
            </w:r>
            <w:proofErr w:type="gramStart"/>
            <w:r>
              <w:rPr>
                <w:rFonts w:eastAsia="仿宋_GB2312" w:hint="eastAsia"/>
                <w:sz w:val="24"/>
              </w:rPr>
              <w:t>快创领</w:t>
            </w:r>
            <w:proofErr w:type="gramEnd"/>
            <w:r>
              <w:rPr>
                <w:rFonts w:eastAsia="仿宋_GB2312" w:hint="eastAsia"/>
                <w:sz w:val="24"/>
              </w:rPr>
              <w:t>是由一</w:t>
            </w:r>
            <w:proofErr w:type="gramStart"/>
            <w:r>
              <w:rPr>
                <w:rFonts w:eastAsia="仿宋_GB2312" w:hint="eastAsia"/>
                <w:sz w:val="24"/>
              </w:rPr>
              <w:t>汽解放与四维</w:t>
            </w:r>
            <w:proofErr w:type="gramEnd"/>
            <w:r>
              <w:rPr>
                <w:rFonts w:eastAsia="仿宋_GB2312" w:hint="eastAsia"/>
                <w:sz w:val="24"/>
              </w:rPr>
              <w:t>图新投资的车联网合资公司，以“让交通运输物流行业变得愉快”为使命，基于</w:t>
            </w:r>
            <w:proofErr w:type="gramStart"/>
            <w:r>
              <w:rPr>
                <w:rFonts w:eastAsia="仿宋_GB2312" w:hint="eastAsia"/>
                <w:sz w:val="24"/>
              </w:rPr>
              <w:t>一汽解</w:t>
            </w:r>
            <w:proofErr w:type="gramEnd"/>
            <w:r>
              <w:rPr>
                <w:rFonts w:eastAsia="仿宋_GB2312" w:hint="eastAsia"/>
                <w:sz w:val="24"/>
              </w:rPr>
              <w:t>放整车技术平台，用海量多维度、高精度的商用车数据，为物流行业提供打造优质运力解决方案，助力中国物流产业走向高质量发展。目前拥有研发人员近</w:t>
            </w:r>
            <w:r>
              <w:rPr>
                <w:rFonts w:eastAsia="仿宋_GB2312" w:hint="eastAsia"/>
                <w:sz w:val="24"/>
              </w:rPr>
              <w:t>300</w:t>
            </w:r>
            <w:r>
              <w:rPr>
                <w:rFonts w:eastAsia="仿宋_GB2312" w:hint="eastAsia"/>
                <w:sz w:val="24"/>
              </w:rPr>
              <w:t>人，占比超</w:t>
            </w:r>
            <w:r>
              <w:rPr>
                <w:rFonts w:eastAsia="仿宋_GB2312" w:hint="eastAsia"/>
                <w:sz w:val="24"/>
              </w:rPr>
              <w:t>80%</w:t>
            </w:r>
            <w:r>
              <w:rPr>
                <w:rFonts w:eastAsia="仿宋_GB2312" w:hint="eastAsia"/>
                <w:sz w:val="24"/>
              </w:rPr>
              <w:t>，获得授权专利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项，软件著作权</w:t>
            </w:r>
            <w:r>
              <w:rPr>
                <w:rFonts w:eastAsia="仿宋_GB2312" w:hint="eastAsia"/>
                <w:sz w:val="24"/>
              </w:rPr>
              <w:t>131</w:t>
            </w:r>
            <w:r>
              <w:rPr>
                <w:rFonts w:eastAsia="仿宋_GB2312" w:hint="eastAsia"/>
                <w:sz w:val="24"/>
              </w:rPr>
              <w:t>项，获</w:t>
            </w:r>
            <w:r>
              <w:rPr>
                <w:rFonts w:eastAsia="仿宋_GB2312" w:hint="eastAsia"/>
                <w:sz w:val="24"/>
              </w:rPr>
              <w:t xml:space="preserve"> CMMI2.0ML3</w:t>
            </w:r>
            <w:r>
              <w:rPr>
                <w:rFonts w:eastAsia="仿宋_GB2312" w:hint="eastAsia"/>
                <w:sz w:val="24"/>
              </w:rPr>
              <w:t>级软件能力成熟度三级认证，</w:t>
            </w:r>
            <w:r>
              <w:rPr>
                <w:rFonts w:eastAsia="仿宋_GB2312" w:hint="eastAsia"/>
                <w:sz w:val="24"/>
              </w:rPr>
              <w:t>IATF16949</w:t>
            </w:r>
            <w:r>
              <w:rPr>
                <w:rFonts w:eastAsia="仿宋_GB2312" w:hint="eastAsia"/>
                <w:sz w:val="24"/>
              </w:rPr>
              <w:t>质量管理体认证，</w:t>
            </w:r>
            <w:proofErr w:type="gramStart"/>
            <w:r>
              <w:rPr>
                <w:rFonts w:eastAsia="仿宋_GB2312" w:hint="eastAsia"/>
                <w:sz w:val="24"/>
              </w:rPr>
              <w:t>与移远</w:t>
            </w:r>
            <w:proofErr w:type="gramEnd"/>
            <w:r>
              <w:rPr>
                <w:rFonts w:eastAsia="仿宋_GB2312" w:hint="eastAsia"/>
                <w:sz w:val="24"/>
              </w:rPr>
              <w:t>通信、经纬恒润、</w:t>
            </w:r>
            <w:proofErr w:type="gramStart"/>
            <w:r>
              <w:rPr>
                <w:rFonts w:eastAsia="仿宋_GB2312" w:hint="eastAsia"/>
                <w:sz w:val="24"/>
              </w:rPr>
              <w:t>中汽创</w:t>
            </w:r>
            <w:proofErr w:type="gramEnd"/>
            <w:r>
              <w:rPr>
                <w:rFonts w:eastAsia="仿宋_GB2312" w:hint="eastAsia"/>
                <w:sz w:val="24"/>
              </w:rPr>
              <w:t>智、极目智能等行业头部服务商达成战略合作，奠定智能网联信息技术基础。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）林健：硕士毕业于武汉大学，博士毕业于维恩州立大学，担任鱼</w:t>
            </w:r>
            <w:proofErr w:type="gramStart"/>
            <w:r>
              <w:rPr>
                <w:rFonts w:eastAsia="仿宋_GB2312" w:hint="eastAsia"/>
                <w:sz w:val="24"/>
              </w:rPr>
              <w:t>快创领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首席技术专家。在硕士研究生期间就突破了巴黎统筹对中国激光器的封锁，研发了半导体激光行波放大器。在此之后，此类激光放大器出口中国被解禁。该项目荣获国家教委科教进步</w:t>
            </w:r>
            <w:r>
              <w:rPr>
                <w:rFonts w:eastAsia="仿宋_GB2312" w:hint="eastAsia"/>
                <w:sz w:val="24"/>
              </w:rPr>
              <w:t>(</w:t>
            </w:r>
            <w:r>
              <w:rPr>
                <w:rFonts w:eastAsia="仿宋_GB2312" w:hint="eastAsia"/>
                <w:sz w:val="24"/>
              </w:rPr>
              <w:t>甲类</w:t>
            </w:r>
            <w:r>
              <w:rPr>
                <w:rFonts w:eastAsia="仿宋_GB2312" w:hint="eastAsia"/>
                <w:sz w:val="24"/>
              </w:rPr>
              <w:t>)</w:t>
            </w:r>
            <w:r>
              <w:rPr>
                <w:rFonts w:eastAsia="仿宋_GB2312" w:hint="eastAsia"/>
                <w:sz w:val="24"/>
              </w:rPr>
              <w:t>二等奖。在武汉大学任教期间荣获武汉大学优秀青年教师奖、赛格杯电路设计竞赛奖。在美国工作期间率先对汽车电力系统进行仿真，极大提高了系统设计效率。获</w:t>
            </w:r>
            <w:r>
              <w:rPr>
                <w:rFonts w:eastAsia="仿宋_GB2312" w:hint="eastAsia"/>
                <w:sz w:val="24"/>
              </w:rPr>
              <w:t>Saber Success Award</w:t>
            </w:r>
            <w:r>
              <w:rPr>
                <w:rFonts w:eastAsia="仿宋_GB2312" w:hint="eastAsia"/>
                <w:sz w:val="24"/>
              </w:rPr>
              <w:t>。论文获美国</w:t>
            </w:r>
            <w:r>
              <w:rPr>
                <w:rFonts w:eastAsia="仿宋_GB2312" w:hint="eastAsia"/>
                <w:sz w:val="24"/>
              </w:rPr>
              <w:t>SAE</w:t>
            </w:r>
            <w:r>
              <w:rPr>
                <w:rFonts w:eastAsia="仿宋_GB2312" w:hint="eastAsia"/>
                <w:sz w:val="24"/>
              </w:rPr>
              <w:t>优秀论文奖。从</w:t>
            </w:r>
            <w:r>
              <w:rPr>
                <w:rFonts w:eastAsia="仿宋_GB2312" w:hint="eastAsia"/>
                <w:sz w:val="24"/>
              </w:rPr>
              <w:t>2001</w:t>
            </w:r>
            <w:r>
              <w:rPr>
                <w:rFonts w:eastAsia="仿宋_GB2312" w:hint="eastAsia"/>
                <w:sz w:val="24"/>
              </w:rPr>
              <w:t>年起，在美国福特、通用和克莱斯勒汽车公司任新能源技术专家。为福特研发了美国第一辆新能源汽车</w:t>
            </w:r>
            <w:r>
              <w:rPr>
                <w:rFonts w:eastAsia="仿宋_GB2312" w:hint="eastAsia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翼虎。该车是当时世界上最清洁、燃油经济指数最高的运动型多功能车</w:t>
            </w:r>
            <w:r>
              <w:rPr>
                <w:rFonts w:eastAsia="仿宋_GB2312" w:hint="eastAsia"/>
                <w:sz w:val="24"/>
              </w:rPr>
              <w:t>,</w:t>
            </w:r>
            <w:r>
              <w:rPr>
                <w:rFonts w:eastAsia="仿宋_GB2312" w:hint="eastAsia"/>
                <w:sz w:val="24"/>
              </w:rPr>
              <w:t>被评为</w:t>
            </w:r>
            <w:proofErr w:type="gramStart"/>
            <w:r>
              <w:rPr>
                <w:rFonts w:eastAsia="仿宋_GB2312" w:hint="eastAsia"/>
                <w:sz w:val="24"/>
              </w:rPr>
              <w:t>”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2005 </w:t>
            </w:r>
            <w:r>
              <w:rPr>
                <w:rFonts w:eastAsia="仿宋_GB2312" w:hint="eastAsia"/>
                <w:sz w:val="24"/>
              </w:rPr>
              <w:t>北美年度卡车”。作为通用</w:t>
            </w:r>
            <w:proofErr w:type="gramStart"/>
            <w:r>
              <w:rPr>
                <w:rFonts w:eastAsia="仿宋_GB2312" w:hint="eastAsia"/>
                <w:sz w:val="24"/>
              </w:rPr>
              <w:t>雪弗兰沃蓝达</w:t>
            </w:r>
            <w:proofErr w:type="gramEnd"/>
            <w:r>
              <w:rPr>
                <w:rFonts w:eastAsia="仿宋_GB2312" w:hint="eastAsia"/>
                <w:sz w:val="24"/>
              </w:rPr>
              <w:t>BMS</w:t>
            </w:r>
            <w:r>
              <w:rPr>
                <w:rFonts w:eastAsia="仿宋_GB2312" w:hint="eastAsia"/>
                <w:sz w:val="24"/>
              </w:rPr>
              <w:t>首席技术专家，为</w:t>
            </w:r>
            <w:proofErr w:type="gramStart"/>
            <w:r>
              <w:rPr>
                <w:rFonts w:eastAsia="仿宋_GB2312" w:hint="eastAsia"/>
                <w:sz w:val="24"/>
              </w:rPr>
              <w:t>沃蓝</w:t>
            </w:r>
            <w:proofErr w:type="gramEnd"/>
            <w:r>
              <w:rPr>
                <w:rFonts w:eastAsia="仿宋_GB2312" w:hint="eastAsia"/>
                <w:sz w:val="24"/>
              </w:rPr>
              <w:t>达（</w:t>
            </w:r>
            <w:r>
              <w:rPr>
                <w:rFonts w:eastAsia="仿宋_GB2312" w:hint="eastAsia"/>
                <w:sz w:val="24"/>
              </w:rPr>
              <w:t>VOLT</w:t>
            </w:r>
            <w:r>
              <w:rPr>
                <w:rFonts w:eastAsia="仿宋_GB2312" w:hint="eastAsia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BMS</w:t>
            </w:r>
            <w:r>
              <w:rPr>
                <w:rFonts w:eastAsia="仿宋_GB2312" w:hint="eastAsia"/>
                <w:sz w:val="24"/>
              </w:rPr>
              <w:t>研发了一整套控制策略，在世界上率先实现电池动态性能的实时在线估算的控制策略。该策略奠定了美国通用汽车公司新能源汽车</w:t>
            </w:r>
            <w:r>
              <w:rPr>
                <w:rFonts w:eastAsia="仿宋_GB2312" w:hint="eastAsia"/>
                <w:sz w:val="24"/>
              </w:rPr>
              <w:t>BMS</w:t>
            </w:r>
            <w:r>
              <w:rPr>
                <w:rFonts w:eastAsia="仿宋_GB2312" w:hint="eastAsia"/>
                <w:sz w:val="24"/>
              </w:rPr>
              <w:t>核心控制策略的基础并用于之后从</w:t>
            </w:r>
            <w:r>
              <w:rPr>
                <w:rFonts w:eastAsia="仿宋_GB2312" w:hint="eastAsia"/>
                <w:sz w:val="24"/>
              </w:rPr>
              <w:t>VOLT</w:t>
            </w:r>
            <w:r>
              <w:rPr>
                <w:rFonts w:eastAsia="仿宋_GB2312" w:hint="eastAsia"/>
                <w:sz w:val="24"/>
              </w:rPr>
              <w:t>到</w:t>
            </w:r>
            <w:r>
              <w:rPr>
                <w:rFonts w:eastAsia="仿宋_GB2312" w:hint="eastAsia"/>
                <w:sz w:val="24"/>
              </w:rPr>
              <w:t>BOLT</w:t>
            </w:r>
            <w:r>
              <w:rPr>
                <w:rFonts w:eastAsia="仿宋_GB2312" w:hint="eastAsia"/>
                <w:sz w:val="24"/>
              </w:rPr>
              <w:t>的所有通用的新能源汽车。策略获得美国通用汽车最高科技发明创造奖，本人荣获通用汽车最有价值员工奖、研发创新奖。</w:t>
            </w:r>
            <w:proofErr w:type="gramStart"/>
            <w:r>
              <w:rPr>
                <w:rFonts w:eastAsia="仿宋_GB2312" w:hint="eastAsia"/>
                <w:sz w:val="24"/>
              </w:rPr>
              <w:t>仅沃蓝达</w:t>
            </w:r>
            <w:proofErr w:type="gramEnd"/>
            <w:r>
              <w:rPr>
                <w:rFonts w:eastAsia="仿宋_GB2312" w:hint="eastAsia"/>
                <w:sz w:val="24"/>
              </w:rPr>
              <w:t>一个车型，至今已经累积行驶</w:t>
            </w:r>
            <w:r>
              <w:rPr>
                <w:rFonts w:eastAsia="仿宋_GB2312" w:hint="eastAsia"/>
                <w:sz w:val="24"/>
              </w:rPr>
              <w:t>40</w:t>
            </w:r>
            <w:r>
              <w:rPr>
                <w:rFonts w:eastAsia="仿宋_GB2312" w:hint="eastAsia"/>
                <w:sz w:val="24"/>
              </w:rPr>
              <w:t>多亿公里</w:t>
            </w:r>
            <w:r>
              <w:rPr>
                <w:rFonts w:eastAsia="仿宋_GB2312" w:hint="eastAsia"/>
                <w:sz w:val="24"/>
              </w:rPr>
              <w:lastRenderedPageBreak/>
              <w:t>无电池安全事故，是世界</w:t>
            </w:r>
            <w:proofErr w:type="gramStart"/>
            <w:r>
              <w:rPr>
                <w:rFonts w:eastAsia="仿宋_GB2312" w:hint="eastAsia"/>
                <w:sz w:val="24"/>
              </w:rPr>
              <w:t>上唯二</w:t>
            </w:r>
            <w:proofErr w:type="gramEnd"/>
            <w:r>
              <w:rPr>
                <w:rFonts w:eastAsia="仿宋_GB2312" w:hint="eastAsia"/>
                <w:sz w:val="24"/>
              </w:rPr>
              <w:t>的无电池安全事故的大批量产车之一。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）张楠：鱼</w:t>
            </w:r>
            <w:proofErr w:type="gramStart"/>
            <w:r>
              <w:rPr>
                <w:rFonts w:eastAsia="仿宋_GB2312" w:hint="eastAsia"/>
                <w:sz w:val="24"/>
              </w:rPr>
              <w:t>快创领</w:t>
            </w:r>
            <w:proofErr w:type="gramEnd"/>
            <w:r>
              <w:rPr>
                <w:rFonts w:eastAsia="仿宋_GB2312" w:hint="eastAsia"/>
                <w:sz w:val="24"/>
              </w:rPr>
              <w:t>创始人、</w:t>
            </w:r>
            <w:r>
              <w:rPr>
                <w:rFonts w:eastAsia="仿宋_GB2312" w:hint="eastAsia"/>
                <w:sz w:val="24"/>
              </w:rPr>
              <w:t>CEO</w:t>
            </w:r>
            <w:r>
              <w:rPr>
                <w:rFonts w:eastAsia="仿宋_GB2312" w:hint="eastAsia"/>
                <w:sz w:val="24"/>
              </w:rPr>
              <w:t>，曾任</w:t>
            </w:r>
            <w:proofErr w:type="gramStart"/>
            <w:r>
              <w:rPr>
                <w:rFonts w:eastAsia="仿宋_GB2312" w:hint="eastAsia"/>
                <w:sz w:val="24"/>
              </w:rPr>
              <w:t>一汽解</w:t>
            </w:r>
            <w:proofErr w:type="gramEnd"/>
            <w:r>
              <w:rPr>
                <w:rFonts w:eastAsia="仿宋_GB2312" w:hint="eastAsia"/>
                <w:sz w:val="24"/>
              </w:rPr>
              <w:t>放车联网负责人，分管运力业务部、车队业务部、解放行业务部、服务运维中心、生态中心、设计中心等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个部门。负责制定解放未来发展战略、</w:t>
            </w:r>
            <w:proofErr w:type="gramStart"/>
            <w:r>
              <w:rPr>
                <w:rFonts w:eastAsia="仿宋_GB2312" w:hint="eastAsia"/>
                <w:sz w:val="24"/>
              </w:rPr>
              <w:t>开拓车</w:t>
            </w:r>
            <w:proofErr w:type="gramEnd"/>
            <w:r>
              <w:rPr>
                <w:rFonts w:eastAsia="仿宋_GB2312" w:hint="eastAsia"/>
                <w:sz w:val="24"/>
              </w:rPr>
              <w:t>联网业务、推动公司数字化转型，</w:t>
            </w:r>
            <w:r>
              <w:rPr>
                <w:rFonts w:eastAsia="仿宋_GB2312" w:hint="eastAsia"/>
                <w:sz w:val="24"/>
              </w:rPr>
              <w:t>2019</w:t>
            </w:r>
            <w:r>
              <w:rPr>
                <w:rFonts w:eastAsia="仿宋_GB2312" w:hint="eastAsia"/>
                <w:sz w:val="24"/>
              </w:rPr>
              <w:t>年推动</w:t>
            </w:r>
            <w:proofErr w:type="gramStart"/>
            <w:r>
              <w:rPr>
                <w:rFonts w:eastAsia="仿宋_GB2312" w:hint="eastAsia"/>
                <w:sz w:val="24"/>
              </w:rPr>
              <w:t>一汽解放与四维</w:t>
            </w:r>
            <w:proofErr w:type="gramEnd"/>
            <w:r>
              <w:rPr>
                <w:rFonts w:eastAsia="仿宋_GB2312" w:hint="eastAsia"/>
                <w:sz w:val="24"/>
              </w:rPr>
              <w:t>图新的战略合作，最终牵头成立鱼</w:t>
            </w:r>
            <w:proofErr w:type="gramStart"/>
            <w:r>
              <w:rPr>
                <w:rFonts w:eastAsia="仿宋_GB2312" w:hint="eastAsia"/>
                <w:sz w:val="24"/>
              </w:rPr>
              <w:t>快创</w:t>
            </w:r>
            <w:proofErr w:type="gramEnd"/>
            <w:r>
              <w:rPr>
                <w:rFonts w:eastAsia="仿宋_GB2312" w:hint="eastAsia"/>
                <w:sz w:val="24"/>
              </w:rPr>
              <w:t>领。在</w:t>
            </w:r>
            <w:proofErr w:type="gramStart"/>
            <w:r>
              <w:rPr>
                <w:rFonts w:eastAsia="仿宋_GB2312" w:hint="eastAsia"/>
                <w:sz w:val="24"/>
              </w:rPr>
              <w:t>商用车整车厂</w:t>
            </w:r>
            <w:proofErr w:type="gramEnd"/>
            <w:r>
              <w:rPr>
                <w:rFonts w:eastAsia="仿宋_GB2312" w:hint="eastAsia"/>
                <w:sz w:val="24"/>
              </w:rPr>
              <w:t>从事战略及项目管理工作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年，对商用车战略、市场、产品和规划体系有深刻认识和独特见解，尤其在行业的颠覆性力量方面，有敏锐的市场洞察能力、全面的战略规划能力及创新体系的搭建能力。在行业高层间有广泛资源，善于调动不同资源创新性的解决问题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）张中磊：本科毕业于沈阳大学，</w:t>
            </w:r>
            <w:r>
              <w:rPr>
                <w:rFonts w:eastAsia="仿宋_GB2312" w:hint="eastAsia"/>
                <w:sz w:val="24"/>
                <w:lang w:val="zh-CN"/>
              </w:rPr>
              <w:t>担任</w:t>
            </w:r>
            <w:r>
              <w:rPr>
                <w:rFonts w:eastAsia="仿宋_GB2312" w:hint="eastAsia"/>
                <w:sz w:val="24"/>
              </w:rPr>
              <w:t>鱼</w:t>
            </w:r>
            <w:proofErr w:type="gramStart"/>
            <w:r>
              <w:rPr>
                <w:rFonts w:eastAsia="仿宋_GB2312" w:hint="eastAsia"/>
                <w:sz w:val="24"/>
              </w:rPr>
              <w:t>快创领</w:t>
            </w:r>
            <w:proofErr w:type="gramEnd"/>
            <w:r>
              <w:rPr>
                <w:rFonts w:eastAsia="仿宋_GB2312" w:hint="eastAsia"/>
                <w:sz w:val="24"/>
                <w:lang w:val="zh-CN"/>
              </w:rPr>
              <w:t>副总裁。</w:t>
            </w:r>
            <w:r>
              <w:rPr>
                <w:rFonts w:eastAsia="仿宋_GB2312" w:hint="eastAsia"/>
                <w:sz w:val="24"/>
              </w:rPr>
              <w:t>分管软件研发中心、</w:t>
            </w:r>
            <w:proofErr w:type="gramStart"/>
            <w:r>
              <w:rPr>
                <w:rFonts w:eastAsia="仿宋_GB2312" w:hint="eastAsia"/>
                <w:sz w:val="24"/>
              </w:rPr>
              <w:t>数智物流</w:t>
            </w:r>
            <w:proofErr w:type="gramEnd"/>
            <w:r>
              <w:rPr>
                <w:rFonts w:eastAsia="仿宋_GB2312" w:hint="eastAsia"/>
                <w:sz w:val="24"/>
              </w:rPr>
              <w:t>业务部、</w:t>
            </w:r>
            <w:proofErr w:type="gramStart"/>
            <w:r>
              <w:rPr>
                <w:rFonts w:eastAsia="仿宋_GB2312" w:hint="eastAsia"/>
                <w:sz w:val="24"/>
              </w:rPr>
              <w:t>数字风控业务</w:t>
            </w:r>
            <w:proofErr w:type="gramEnd"/>
            <w:r>
              <w:rPr>
                <w:rFonts w:eastAsia="仿宋_GB2312" w:hint="eastAsia"/>
                <w:sz w:val="24"/>
              </w:rPr>
              <w:t>部等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 w:hint="eastAsia"/>
                <w:sz w:val="24"/>
              </w:rPr>
              <w:t>个部门。具有</w:t>
            </w:r>
            <w:r>
              <w:rPr>
                <w:rFonts w:eastAsia="仿宋_GB2312" w:hint="eastAsia"/>
                <w:sz w:val="24"/>
              </w:rPr>
              <w:t>15</w:t>
            </w:r>
            <w:r>
              <w:rPr>
                <w:rFonts w:eastAsia="仿宋_GB2312" w:hint="eastAsia"/>
                <w:sz w:val="24"/>
              </w:rPr>
              <w:t>年车联网研发经验，是车联网领域</w:t>
            </w:r>
            <w:proofErr w:type="gramStart"/>
            <w:r>
              <w:rPr>
                <w:rFonts w:eastAsia="仿宋_GB2312" w:hint="eastAsia"/>
                <w:sz w:val="24"/>
              </w:rPr>
              <w:t>资深行业</w:t>
            </w:r>
            <w:proofErr w:type="gramEnd"/>
            <w:r>
              <w:rPr>
                <w:rFonts w:eastAsia="仿宋_GB2312" w:hint="eastAsia"/>
                <w:sz w:val="24"/>
              </w:rPr>
              <w:t>专家。曾任职于东软集团，供职中</w:t>
            </w:r>
            <w:proofErr w:type="gramStart"/>
            <w:r>
              <w:rPr>
                <w:rFonts w:eastAsia="仿宋_GB2312" w:hint="eastAsia"/>
                <w:sz w:val="24"/>
              </w:rPr>
              <w:t>寰</w:t>
            </w:r>
            <w:proofErr w:type="gramEnd"/>
            <w:r>
              <w:rPr>
                <w:rFonts w:eastAsia="仿宋_GB2312" w:hint="eastAsia"/>
                <w:sz w:val="24"/>
              </w:rPr>
              <w:t>卫星期间，任战略客户部总经理。多次主导管理过多项大型国际（中国、日本、欧美）研发项目，并有驻日工作经历。多年从事车联网平台研发和生态建设工作，主导落地多个商用车主机厂车联网平台，并对商用车车联网生态和痛点有深厚的见解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  <w:lang w:val="zh-CN"/>
              </w:rPr>
              <w:t>（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  <w:lang w:val="zh-CN"/>
              </w:rPr>
              <w:t>）张文：本科毕业于中北大学，担任</w:t>
            </w:r>
            <w:r>
              <w:rPr>
                <w:rFonts w:eastAsia="仿宋_GB2312" w:hint="eastAsia"/>
                <w:sz w:val="24"/>
              </w:rPr>
              <w:t>鱼</w:t>
            </w:r>
            <w:proofErr w:type="gramStart"/>
            <w:r>
              <w:rPr>
                <w:rFonts w:eastAsia="仿宋_GB2312" w:hint="eastAsia"/>
                <w:sz w:val="24"/>
              </w:rPr>
              <w:t>快创领</w:t>
            </w:r>
            <w:proofErr w:type="gramEnd"/>
            <w:r>
              <w:rPr>
                <w:rFonts w:eastAsia="仿宋_GB2312" w:hint="eastAsia"/>
                <w:sz w:val="24"/>
                <w:lang w:val="zh-CN"/>
              </w:rPr>
              <w:t>副总裁。</w:t>
            </w:r>
            <w:r>
              <w:rPr>
                <w:rFonts w:eastAsia="仿宋_GB2312" w:hint="eastAsia"/>
                <w:sz w:val="24"/>
              </w:rPr>
              <w:t>分管智能硬件研发中心、核心能力中心、交付中心等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个部门。</w:t>
            </w:r>
            <w:r>
              <w:rPr>
                <w:rFonts w:eastAsia="仿宋_GB2312" w:hint="eastAsia"/>
                <w:sz w:val="24"/>
                <w:lang w:val="zh-CN"/>
              </w:rPr>
              <w:t>具有</w:t>
            </w:r>
            <w:r>
              <w:rPr>
                <w:rFonts w:eastAsia="仿宋_GB2312" w:hint="eastAsia"/>
                <w:sz w:val="24"/>
                <w:lang w:val="zh-CN"/>
              </w:rPr>
              <w:t>15</w:t>
            </w:r>
            <w:r>
              <w:rPr>
                <w:rFonts w:eastAsia="仿宋_GB2312" w:hint="eastAsia"/>
                <w:sz w:val="24"/>
                <w:lang w:val="zh-CN"/>
              </w:rPr>
              <w:t>年车联网行业从业经验，</w:t>
            </w:r>
            <w:r>
              <w:rPr>
                <w:rFonts w:eastAsia="仿宋_GB2312" w:hint="eastAsia"/>
                <w:sz w:val="24"/>
              </w:rPr>
              <w:t>是</w:t>
            </w:r>
            <w:r>
              <w:rPr>
                <w:rFonts w:eastAsia="仿宋_GB2312" w:hint="eastAsia"/>
                <w:sz w:val="24"/>
                <w:lang w:val="zh-CN"/>
              </w:rPr>
              <w:t>智能硬件设计与管理、支持与保障中心</w:t>
            </w:r>
            <w:r>
              <w:rPr>
                <w:rFonts w:eastAsia="仿宋_GB2312" w:hint="eastAsia"/>
                <w:sz w:val="24"/>
              </w:rPr>
              <w:t>等</w:t>
            </w:r>
            <w:r>
              <w:rPr>
                <w:rFonts w:eastAsia="仿宋_GB2312" w:hint="eastAsia"/>
                <w:sz w:val="24"/>
                <w:lang w:val="zh-CN"/>
              </w:rPr>
              <w:t>专业领域</w:t>
            </w:r>
            <w:r>
              <w:rPr>
                <w:rFonts w:eastAsia="仿宋_GB2312" w:hint="eastAsia"/>
                <w:sz w:val="24"/>
              </w:rPr>
              <w:t>的</w:t>
            </w:r>
            <w:proofErr w:type="gramStart"/>
            <w:r>
              <w:rPr>
                <w:rFonts w:eastAsia="仿宋_GB2312" w:hint="eastAsia"/>
                <w:sz w:val="24"/>
                <w:lang w:val="zh-CN"/>
              </w:rPr>
              <w:t>资深行业</w:t>
            </w:r>
            <w:proofErr w:type="gramEnd"/>
            <w:r>
              <w:rPr>
                <w:rFonts w:eastAsia="仿宋_GB2312" w:hint="eastAsia"/>
                <w:sz w:val="24"/>
                <w:lang w:val="zh-CN"/>
              </w:rPr>
              <w:t>专家。曾任职于英华达、哈曼中国、</w:t>
            </w:r>
            <w:proofErr w:type="gramStart"/>
            <w:r>
              <w:rPr>
                <w:rFonts w:eastAsia="仿宋_GB2312" w:hint="eastAsia"/>
                <w:sz w:val="24"/>
                <w:lang w:val="zh-CN"/>
              </w:rPr>
              <w:t>航盛电子</w:t>
            </w:r>
            <w:proofErr w:type="gramEnd"/>
            <w:r>
              <w:rPr>
                <w:rFonts w:eastAsia="仿宋_GB2312" w:hint="eastAsia"/>
                <w:sz w:val="24"/>
                <w:lang w:val="zh-CN"/>
              </w:rPr>
              <w:t>、爱瑟福等车联网知名企业，主导完成一汽红旗</w:t>
            </w:r>
            <w:r>
              <w:rPr>
                <w:rFonts w:eastAsia="仿宋_GB2312" w:hint="eastAsia"/>
                <w:sz w:val="24"/>
                <w:lang w:val="zh-CN"/>
              </w:rPr>
              <w:t>HS5</w:t>
            </w:r>
            <w:r>
              <w:rPr>
                <w:rFonts w:eastAsia="仿宋_GB2312" w:hint="eastAsia"/>
                <w:sz w:val="24"/>
                <w:lang w:val="zh-CN"/>
              </w:rPr>
              <w:t>整车</w:t>
            </w:r>
            <w:r>
              <w:rPr>
                <w:rFonts w:eastAsia="仿宋_GB2312" w:hint="eastAsia"/>
                <w:sz w:val="24"/>
                <w:lang w:val="zh-CN"/>
              </w:rPr>
              <w:t>FOTA</w:t>
            </w:r>
            <w:r>
              <w:rPr>
                <w:rFonts w:eastAsia="仿宋_GB2312" w:hint="eastAsia"/>
                <w:sz w:val="24"/>
                <w:lang w:val="zh-CN"/>
              </w:rPr>
              <w:t>智能化升级方案交付、</w:t>
            </w:r>
            <w:proofErr w:type="gramStart"/>
            <w:r>
              <w:rPr>
                <w:rFonts w:eastAsia="仿宋_GB2312" w:hint="eastAsia"/>
                <w:sz w:val="24"/>
                <w:lang w:val="zh-CN"/>
              </w:rPr>
              <w:t>广</w:t>
            </w:r>
            <w:proofErr w:type="gramEnd"/>
            <w:r>
              <w:rPr>
                <w:rFonts w:eastAsia="仿宋_GB2312" w:hint="eastAsia"/>
                <w:sz w:val="24"/>
                <w:lang w:val="zh-CN"/>
              </w:rPr>
              <w:t>汽</w:t>
            </w:r>
            <w:r>
              <w:rPr>
                <w:rFonts w:eastAsia="仿宋_GB2312" w:hint="eastAsia"/>
                <w:sz w:val="24"/>
                <w:lang w:val="zh-CN"/>
              </w:rPr>
              <w:t>CAN/</w:t>
            </w:r>
            <w:r>
              <w:rPr>
                <w:rFonts w:eastAsia="仿宋_GB2312" w:hint="eastAsia"/>
                <w:sz w:val="24"/>
                <w:lang w:val="zh-CN"/>
              </w:rPr>
              <w:t>以太网总线整车</w:t>
            </w:r>
            <w:r>
              <w:rPr>
                <w:rFonts w:eastAsia="仿宋_GB2312" w:hint="eastAsia"/>
                <w:sz w:val="24"/>
                <w:lang w:val="zh-CN"/>
              </w:rPr>
              <w:t>FOTA</w:t>
            </w:r>
            <w:r>
              <w:rPr>
                <w:rFonts w:eastAsia="仿宋_GB2312" w:hint="eastAsia"/>
                <w:sz w:val="24"/>
                <w:lang w:val="zh-CN"/>
              </w:rPr>
              <w:t>升级方案交付、东风乘用与</w:t>
            </w:r>
            <w:r>
              <w:rPr>
                <w:rFonts w:eastAsia="仿宋_GB2312" w:hint="eastAsia"/>
                <w:sz w:val="24"/>
                <w:lang w:val="zh-CN"/>
              </w:rPr>
              <w:t>H</w:t>
            </w:r>
            <w:r>
              <w:rPr>
                <w:rFonts w:eastAsia="仿宋_GB2312" w:hint="eastAsia"/>
                <w:sz w:val="24"/>
                <w:lang w:val="zh-CN"/>
              </w:rPr>
              <w:t>事业部多平台车型</w:t>
            </w:r>
            <w:r>
              <w:rPr>
                <w:rFonts w:eastAsia="仿宋_GB2312" w:hint="eastAsia"/>
                <w:sz w:val="24"/>
                <w:lang w:val="zh-CN"/>
              </w:rPr>
              <w:t>FOTA</w:t>
            </w:r>
            <w:r>
              <w:rPr>
                <w:rFonts w:eastAsia="仿宋_GB2312" w:hint="eastAsia"/>
                <w:sz w:val="24"/>
                <w:lang w:val="zh-CN"/>
              </w:rPr>
              <w:t>与远程诊断升级方案等，服务于一汽等大型集团客户。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）刘闯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本科</w:t>
            </w:r>
            <w:r>
              <w:rPr>
                <w:rFonts w:eastAsia="仿宋_GB2312"/>
                <w:sz w:val="24"/>
              </w:rPr>
              <w:t>毕业于</w:t>
            </w:r>
            <w:r>
              <w:rPr>
                <w:rFonts w:eastAsia="仿宋_GB2312" w:hint="eastAsia"/>
                <w:sz w:val="24"/>
              </w:rPr>
              <w:t>江苏大学</w:t>
            </w:r>
            <w:r>
              <w:rPr>
                <w:rFonts w:eastAsia="仿宋_GB2312"/>
                <w:sz w:val="24"/>
              </w:rPr>
              <w:t>，</w:t>
            </w:r>
            <w:r>
              <w:rPr>
                <w:rFonts w:eastAsia="仿宋_GB2312" w:hint="eastAsia"/>
                <w:sz w:val="24"/>
              </w:rPr>
              <w:t>担任</w:t>
            </w:r>
            <w:r>
              <w:rPr>
                <w:rFonts w:eastAsia="仿宋_GB2312"/>
                <w:sz w:val="24"/>
              </w:rPr>
              <w:t>智能硬件</w:t>
            </w:r>
            <w:r>
              <w:rPr>
                <w:rFonts w:eastAsia="仿宋_GB2312" w:hint="eastAsia"/>
                <w:sz w:val="24"/>
              </w:rPr>
              <w:t>研发中心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负责人，</w:t>
            </w:r>
            <w:r>
              <w:rPr>
                <w:rFonts w:eastAsia="仿宋_GB2312"/>
                <w:sz w:val="24"/>
              </w:rPr>
              <w:t>负责公司智能</w:t>
            </w:r>
            <w:proofErr w:type="gramStart"/>
            <w:r>
              <w:rPr>
                <w:rFonts w:eastAsia="仿宋_GB2312"/>
                <w:sz w:val="24"/>
              </w:rPr>
              <w:t>硬件网</w:t>
            </w:r>
            <w:proofErr w:type="gramEnd"/>
            <w:r>
              <w:rPr>
                <w:rFonts w:eastAsia="仿宋_GB2312"/>
                <w:sz w:val="24"/>
              </w:rPr>
              <w:t>联产品软件技术架构、智能硬件</w:t>
            </w:r>
            <w:r>
              <w:rPr>
                <w:rFonts w:eastAsia="仿宋_GB2312" w:hint="eastAsia"/>
                <w:sz w:val="24"/>
              </w:rPr>
              <w:t>研发中心</w:t>
            </w:r>
            <w:r>
              <w:rPr>
                <w:rFonts w:eastAsia="仿宋_GB2312"/>
                <w:sz w:val="24"/>
              </w:rPr>
              <w:t>日常工作管理。曾就职于</w:t>
            </w:r>
            <w:proofErr w:type="gramStart"/>
            <w:r>
              <w:rPr>
                <w:rFonts w:eastAsia="仿宋_GB2312"/>
                <w:sz w:val="24"/>
              </w:rPr>
              <w:t>盛腾汽车</w:t>
            </w:r>
            <w:proofErr w:type="gramEnd"/>
            <w:r>
              <w:rPr>
                <w:rFonts w:eastAsia="仿宋_GB2312"/>
                <w:sz w:val="24"/>
              </w:rPr>
              <w:t>科技有限公司、</w:t>
            </w:r>
            <w:proofErr w:type="gramStart"/>
            <w:r>
              <w:rPr>
                <w:rFonts w:eastAsia="仿宋_GB2312"/>
                <w:sz w:val="24"/>
              </w:rPr>
              <w:t>奇瑞雄</w:t>
            </w:r>
            <w:proofErr w:type="gramEnd"/>
            <w:r>
              <w:rPr>
                <w:rFonts w:eastAsia="仿宋_GB2312"/>
                <w:sz w:val="24"/>
              </w:rPr>
              <w:t>狮汽车科技（南京）有限公司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上汽大通软件与智能中心（南研院）等公司。曾负责</w:t>
            </w:r>
            <w:r>
              <w:rPr>
                <w:rFonts w:eastAsia="仿宋_GB2312" w:hint="eastAsia"/>
                <w:sz w:val="24"/>
              </w:rPr>
              <w:t>并完成</w:t>
            </w:r>
            <w:r>
              <w:rPr>
                <w:rFonts w:eastAsia="仿宋_GB2312"/>
                <w:sz w:val="24"/>
              </w:rPr>
              <w:t>设计</w:t>
            </w:r>
            <w:proofErr w:type="gramStart"/>
            <w:r>
              <w:rPr>
                <w:rFonts w:eastAsia="仿宋_GB2312"/>
                <w:sz w:val="24"/>
              </w:rPr>
              <w:t>制造拜腾</w:t>
            </w:r>
            <w:proofErr w:type="gramEnd"/>
            <w:r>
              <w:rPr>
                <w:rFonts w:eastAsia="仿宋_GB2312"/>
                <w:sz w:val="24"/>
              </w:rPr>
              <w:t>M-BYTE</w:t>
            </w:r>
            <w:r>
              <w:rPr>
                <w:rFonts w:eastAsia="仿宋_GB2312"/>
                <w:sz w:val="24"/>
              </w:rPr>
              <w:t>车型</w:t>
            </w:r>
            <w:r>
              <w:rPr>
                <w:rFonts w:eastAsia="仿宋_GB2312" w:hint="eastAsia"/>
                <w:sz w:val="24"/>
              </w:rPr>
              <w:t>项目、</w:t>
            </w:r>
            <w:proofErr w:type="gramStart"/>
            <w:r>
              <w:rPr>
                <w:rFonts w:eastAsia="仿宋_GB2312" w:hint="eastAsia"/>
                <w:sz w:val="24"/>
              </w:rPr>
              <w:t>奇瑞</w:t>
            </w:r>
            <w:proofErr w:type="gramEnd"/>
            <w:r>
              <w:rPr>
                <w:rFonts w:eastAsia="仿宋_GB2312" w:hint="eastAsia"/>
                <w:sz w:val="24"/>
              </w:rPr>
              <w:t>全平台座舱平台化项目、奇瑞瑞虎</w:t>
            </w:r>
            <w:r>
              <w:rPr>
                <w:rFonts w:eastAsia="仿宋_GB2312" w:hint="eastAsia"/>
                <w:sz w:val="24"/>
              </w:rPr>
              <w:t>8Plus</w:t>
            </w:r>
            <w:r>
              <w:rPr>
                <w:rFonts w:eastAsia="仿宋_GB2312" w:hint="eastAsia"/>
                <w:sz w:val="24"/>
              </w:rPr>
              <w:t>座舱系统</w:t>
            </w:r>
            <w:r>
              <w:rPr>
                <w:rFonts w:eastAsia="仿宋_GB2312" w:hint="eastAsia"/>
                <w:sz w:val="24"/>
              </w:rPr>
              <w:t>T1D</w:t>
            </w:r>
            <w:r>
              <w:rPr>
                <w:rFonts w:eastAsia="仿宋_GB2312" w:hint="eastAsia"/>
                <w:sz w:val="24"/>
              </w:rPr>
              <w:t>等诸多项目。具有十</w:t>
            </w:r>
            <w:r>
              <w:rPr>
                <w:rFonts w:eastAsia="仿宋_GB2312"/>
                <w:sz w:val="24"/>
              </w:rPr>
              <w:t>多年车载研发及团队管理经验，落地国内外量产车型十几款。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6</w:t>
            </w:r>
            <w:r>
              <w:rPr>
                <w:rFonts w:eastAsia="仿宋_GB2312"/>
                <w:sz w:val="24"/>
              </w:rPr>
              <w:t>）张志武</w:t>
            </w:r>
            <w:r>
              <w:rPr>
                <w:rFonts w:eastAsia="仿宋_GB2312" w:hint="eastAsia"/>
                <w:sz w:val="24"/>
              </w:rPr>
              <w:t>：本科</w:t>
            </w:r>
            <w:r>
              <w:rPr>
                <w:rFonts w:eastAsia="仿宋_GB2312"/>
                <w:sz w:val="24"/>
              </w:rPr>
              <w:t>毕业于吉林大学</w:t>
            </w:r>
            <w:r>
              <w:rPr>
                <w:rFonts w:eastAsia="仿宋_GB2312" w:hint="eastAsia"/>
                <w:sz w:val="24"/>
              </w:rPr>
              <w:t>，担任核心能力中心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技术专家，</w:t>
            </w:r>
            <w:r>
              <w:rPr>
                <w:rFonts w:eastAsia="仿宋_GB2312"/>
                <w:sz w:val="24"/>
              </w:rPr>
              <w:t>负责鱼</w:t>
            </w:r>
            <w:proofErr w:type="gramStart"/>
            <w:r>
              <w:rPr>
                <w:rFonts w:eastAsia="仿宋_GB2312"/>
                <w:sz w:val="24"/>
              </w:rPr>
              <w:t>快创领核心</w:t>
            </w:r>
            <w:proofErr w:type="gramEnd"/>
            <w:r>
              <w:rPr>
                <w:rFonts w:eastAsia="仿宋_GB2312"/>
                <w:sz w:val="24"/>
              </w:rPr>
              <w:t>能力产品规划，技术开发。</w:t>
            </w:r>
            <w:r>
              <w:rPr>
                <w:rFonts w:eastAsia="仿宋_GB2312"/>
                <w:sz w:val="24"/>
              </w:rPr>
              <w:t>2002</w:t>
            </w:r>
            <w:r>
              <w:rPr>
                <w:rFonts w:eastAsia="仿宋_GB2312"/>
                <w:sz w:val="24"/>
              </w:rPr>
              <w:t>年加入一汽解放，曾任一汽解放商院车开发院客户</w:t>
            </w:r>
            <w:r>
              <w:rPr>
                <w:rFonts w:eastAsia="仿宋_GB2312"/>
                <w:sz w:val="24"/>
              </w:rPr>
              <w:lastRenderedPageBreak/>
              <w:t>感知车辆经济性改善负责人。</w:t>
            </w:r>
            <w:r>
              <w:rPr>
                <w:rFonts w:eastAsia="仿宋_GB2312" w:hint="eastAsia"/>
                <w:sz w:val="24"/>
              </w:rPr>
              <w:t>在此期间，</w:t>
            </w:r>
            <w:r>
              <w:rPr>
                <w:rFonts w:eastAsia="仿宋_GB2312"/>
                <w:sz w:val="24"/>
              </w:rPr>
              <w:t>负责基于客户需求的研、产、销、用全流程解决商用车高油耗成本的问题，保障了解放卡车节能性领先及良好客户口碑。在解放商用车开发院从事车辆性能改善工作</w:t>
            </w:r>
            <w:r>
              <w:rPr>
                <w:rFonts w:eastAsia="仿宋_GB2312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年，对商用车市场使用场景、客户使用习惯有深刻了解，对商用车整车客户使用特性有深入理解，能够从端到端把握客户痛点，提出改善方案，并推动产品及服务能力的不断提升。</w:t>
            </w:r>
          </w:p>
          <w:p w:rsidR="006C76C9" w:rsidRDefault="00BE08DC" w:rsidP="006619E7">
            <w:pPr>
              <w:spacing w:line="480" w:lineRule="exact"/>
              <w:ind w:leftChars="200" w:left="4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东南大学师资力量：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殷国栋：东南大学首席教授，博士生导师。国家杰出青年科学基金获得者。主持国家杰出青年科学基金项目、国家自然基金中国汽车产业创新发展联合基金重点项目、国家自然科学基金项目、国家重点研发计划项目（课题）等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项</w:t>
            </w:r>
            <w:r>
              <w:rPr>
                <w:rFonts w:eastAsia="仿宋_GB2312" w:hint="eastAsia"/>
                <w:sz w:val="24"/>
              </w:rPr>
              <w:t>。主持获得教育部科技进步一等奖、江苏省科学技术一等奖。</w:t>
            </w:r>
            <w:r>
              <w:rPr>
                <w:rFonts w:eastAsia="仿宋_GB2312"/>
                <w:sz w:val="24"/>
              </w:rPr>
              <w:t>担任《</w:t>
            </w:r>
            <w:r>
              <w:rPr>
                <w:rFonts w:eastAsia="仿宋_GB2312"/>
                <w:sz w:val="24"/>
              </w:rPr>
              <w:t xml:space="preserve">IEEE </w:t>
            </w:r>
            <w:proofErr w:type="spellStart"/>
            <w:r>
              <w:rPr>
                <w:rFonts w:eastAsia="仿宋_GB2312"/>
                <w:sz w:val="24"/>
              </w:rPr>
              <w:t>Trasanctions</w:t>
            </w:r>
            <w:proofErr w:type="spellEnd"/>
            <w:r>
              <w:rPr>
                <w:rFonts w:eastAsia="仿宋_GB2312"/>
                <w:sz w:val="24"/>
              </w:rPr>
              <w:t xml:space="preserve"> on Intelligent Vehicles</w:t>
            </w:r>
            <w:r>
              <w:rPr>
                <w:rFonts w:eastAsia="仿宋_GB2312"/>
                <w:sz w:val="24"/>
              </w:rPr>
              <w:t>》副主编、《</w:t>
            </w:r>
            <w:r>
              <w:rPr>
                <w:rFonts w:eastAsia="仿宋_GB2312"/>
                <w:sz w:val="24"/>
              </w:rPr>
              <w:t>Journal of Intelligent and Connected Vehicles</w:t>
            </w:r>
            <w:r>
              <w:rPr>
                <w:rFonts w:eastAsia="仿宋_GB2312"/>
                <w:sz w:val="24"/>
              </w:rPr>
              <w:t>》副主编、《</w:t>
            </w:r>
            <w:r>
              <w:rPr>
                <w:rFonts w:eastAsia="仿宋_GB2312"/>
                <w:sz w:val="24"/>
              </w:rPr>
              <w:t>Chinese Journal of Mechanical Engineering</w:t>
            </w:r>
            <w:r>
              <w:rPr>
                <w:rFonts w:eastAsia="仿宋_GB2312"/>
                <w:sz w:val="24"/>
              </w:rPr>
              <w:t>》编委、《机械工程学报》编委、《中国机械工程》编委。发表高水平论文近</w:t>
            </w:r>
            <w:r>
              <w:rPr>
                <w:rFonts w:eastAsia="仿宋_GB2312"/>
                <w:sz w:val="24"/>
              </w:rPr>
              <w:t>150</w:t>
            </w:r>
            <w:r>
              <w:rPr>
                <w:rFonts w:eastAsia="仿宋_GB2312"/>
                <w:sz w:val="24"/>
              </w:rPr>
              <w:t>篇，翻译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部英文著作，主编</w:t>
            </w: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部学术著作；授权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/>
                <w:sz w:val="24"/>
              </w:rPr>
              <w:t>受理</w:t>
            </w:r>
            <w:r>
              <w:rPr>
                <w:rFonts w:eastAsia="仿宋_GB2312"/>
                <w:sz w:val="24"/>
              </w:rPr>
              <w:t>78</w:t>
            </w:r>
            <w:r>
              <w:rPr>
                <w:rFonts w:eastAsia="仿宋_GB2312"/>
                <w:sz w:val="24"/>
              </w:rPr>
              <w:t>件发明专利。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8</w:t>
            </w:r>
            <w:r>
              <w:rPr>
                <w:rFonts w:eastAsia="仿宋_GB2312" w:hint="eastAsia"/>
                <w:sz w:val="24"/>
              </w:rPr>
              <w:t>）庄伟超：东南大学副教授，博士生导师。入选中国科协青年人才托举工程。</w:t>
            </w:r>
            <w:r>
              <w:rPr>
                <w:rFonts w:eastAsia="仿宋_GB2312"/>
                <w:sz w:val="24"/>
              </w:rPr>
              <w:t>主持国家自然科学基金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项，国家重点研发计划子课题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项，参与多项国家自然科学基金与国家重点研发计划。以第一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通讯作者身份发表高水平</w:t>
            </w:r>
            <w:r>
              <w:rPr>
                <w:rFonts w:eastAsia="仿宋_GB2312" w:hint="eastAsia"/>
                <w:sz w:val="24"/>
              </w:rPr>
              <w:t>SCI</w:t>
            </w:r>
            <w:r>
              <w:rPr>
                <w:rFonts w:eastAsia="仿宋_GB2312" w:hint="eastAsia"/>
                <w:sz w:val="24"/>
              </w:rPr>
              <w:t>论文</w:t>
            </w:r>
            <w:r>
              <w:rPr>
                <w:rFonts w:eastAsia="仿宋_GB2312" w:hint="eastAsia"/>
                <w:sz w:val="24"/>
              </w:rPr>
              <w:t>50</w:t>
            </w:r>
            <w:r>
              <w:rPr>
                <w:rFonts w:eastAsia="仿宋_GB2312" w:hint="eastAsia"/>
                <w:sz w:val="24"/>
              </w:rPr>
              <w:t>余篇，授权发明专利</w:t>
            </w: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余项。担任中国汽车工程学会青委会委员、中国自动化学会车辆控制与智能化专业委员会委员、江苏省智能汽车专委会委员、《</w:t>
            </w:r>
            <w:r>
              <w:rPr>
                <w:rFonts w:eastAsia="仿宋_GB2312" w:hint="eastAsia"/>
                <w:sz w:val="24"/>
              </w:rPr>
              <w:t>Automotive Innovation</w:t>
            </w:r>
            <w:r>
              <w:rPr>
                <w:rFonts w:eastAsia="仿宋_GB2312" w:hint="eastAsia"/>
                <w:sz w:val="24"/>
              </w:rPr>
              <w:t>》学术编辑、《重庆理工大学学报（自然科学版）》青年编委。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）王金湘：东南大学副教授，博士生导师。主持国家自然科学基金项目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 w:hint="eastAsia"/>
                <w:sz w:val="24"/>
              </w:rPr>
              <w:t>项，国家重点研发计划项目子课题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项，参与国家科技重大专项、国家重点研发计划、国家自然科学基金重点项目等国家级项目十余项，获教育部科技进步一等奖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项（排名第</w:t>
            </w: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），江苏省科学技术奖二等奖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项（排名第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），江苏省教育教学与研究成果奖（研究类）二等奖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项（排名第</w:t>
            </w: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），江苏省高校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 w:hint="eastAsia"/>
                <w:sz w:val="24"/>
              </w:rPr>
              <w:t>青蓝工程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 w:hint="eastAsia"/>
                <w:sz w:val="24"/>
              </w:rPr>
              <w:t>优秀青年骨干教师。在</w:t>
            </w:r>
            <w:r>
              <w:rPr>
                <w:rFonts w:eastAsia="仿宋_GB2312"/>
                <w:sz w:val="24"/>
              </w:rPr>
              <w:t xml:space="preserve">IEEE Trans. Vehicular Technology, IEEE </w:t>
            </w:r>
            <w:proofErr w:type="spellStart"/>
            <w:r>
              <w:rPr>
                <w:rFonts w:eastAsia="仿宋_GB2312"/>
                <w:sz w:val="24"/>
              </w:rPr>
              <w:t>Trans.Intelligent</w:t>
            </w:r>
            <w:proofErr w:type="spellEnd"/>
            <w:r>
              <w:rPr>
                <w:rFonts w:eastAsia="仿宋_GB2312"/>
                <w:sz w:val="24"/>
              </w:rPr>
              <w:t xml:space="preserve"> Transportation Systems </w:t>
            </w:r>
            <w:r>
              <w:rPr>
                <w:rFonts w:eastAsia="仿宋_GB2312" w:hint="eastAsia"/>
                <w:sz w:val="24"/>
              </w:rPr>
              <w:t>等核心期刊发表学术论文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 w:hint="eastAsia"/>
                <w:sz w:val="24"/>
              </w:rPr>
              <w:t>余篇。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）耿可可，东南大学副教授，博士生导师。在《</w:t>
            </w:r>
            <w:r>
              <w:rPr>
                <w:rFonts w:eastAsia="仿宋_GB2312"/>
                <w:sz w:val="24"/>
              </w:rPr>
              <w:t>IEEE Transactions on Systems Man Cybernetics-Systems</w:t>
            </w:r>
            <w:r>
              <w:rPr>
                <w:rFonts w:eastAsia="仿宋_GB2312"/>
                <w:sz w:val="24"/>
              </w:rPr>
              <w:t>》、《</w:t>
            </w:r>
            <w:r>
              <w:rPr>
                <w:rFonts w:eastAsia="仿宋_GB2312"/>
                <w:sz w:val="24"/>
              </w:rPr>
              <w:t xml:space="preserve">Proc. </w:t>
            </w:r>
            <w:proofErr w:type="spellStart"/>
            <w:r>
              <w:rPr>
                <w:rFonts w:eastAsia="仿宋_GB2312"/>
                <w:sz w:val="24"/>
              </w:rPr>
              <w:t>IMech</w:t>
            </w:r>
            <w:proofErr w:type="spellEnd"/>
            <w:r>
              <w:rPr>
                <w:rFonts w:eastAsia="仿宋_GB2312"/>
                <w:sz w:val="24"/>
              </w:rPr>
              <w:t xml:space="preserve"> D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>Journal of Automobile Engineering</w:t>
            </w:r>
            <w:r>
              <w:rPr>
                <w:rFonts w:eastAsia="仿宋_GB2312"/>
                <w:sz w:val="24"/>
              </w:rPr>
              <w:t>》等机械、车</w:t>
            </w:r>
            <w:r>
              <w:rPr>
                <w:rFonts w:eastAsia="仿宋_GB2312"/>
                <w:sz w:val="24"/>
              </w:rPr>
              <w:lastRenderedPageBreak/>
              <w:t>辆、信息等领域重要期刊上学术论文二十余篇，其中</w:t>
            </w:r>
            <w:r>
              <w:rPr>
                <w:rFonts w:eastAsia="仿宋_GB2312"/>
                <w:sz w:val="24"/>
              </w:rPr>
              <w:t>SCI</w:t>
            </w:r>
            <w:r>
              <w:rPr>
                <w:rFonts w:eastAsia="仿宋_GB2312"/>
                <w:sz w:val="24"/>
              </w:rPr>
              <w:t>论文十余篇。担任主持科研项目十余项项，包括国家自然科学面上基金、国家自然科学青年基金、江苏省自然科学青年基金、重点领域基金等多项省部级以上科研项目</w:t>
            </w:r>
            <w:r>
              <w:rPr>
                <w:rFonts w:eastAsia="仿宋_GB2312" w:hint="eastAsia"/>
                <w:sz w:val="24"/>
              </w:rPr>
              <w:t>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11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张宁：东南大学副教授，博士生导师。</w:t>
            </w:r>
            <w:r>
              <w:rPr>
                <w:rFonts w:eastAsia="仿宋_GB2312"/>
                <w:sz w:val="24"/>
              </w:rPr>
              <w:t>在力学、机电系统与运载系统动力学及其智能化、智能网联电动汽车、机械振动与噪声等研究方向承担或参与过中国、德国的国家基金、省部级基金、企业委托合作等各类科研项目。先后在国内外车辆工程领域、机械振动与噪声领域核心学术期刊与会议上发表论文</w:t>
            </w:r>
            <w:r>
              <w:rPr>
                <w:rFonts w:eastAsia="仿宋_GB2312"/>
                <w:sz w:val="24"/>
              </w:rPr>
              <w:t>30</w:t>
            </w:r>
            <w:r>
              <w:rPr>
                <w:rFonts w:eastAsia="仿宋_GB2312"/>
                <w:sz w:val="24"/>
              </w:rPr>
              <w:t>余篇（</w:t>
            </w:r>
            <w:r>
              <w:rPr>
                <w:rFonts w:eastAsia="仿宋_GB2312"/>
                <w:sz w:val="24"/>
              </w:rPr>
              <w:t>SCI</w:t>
            </w:r>
            <w:r>
              <w:rPr>
                <w:rFonts w:eastAsia="仿宋_GB2312"/>
                <w:sz w:val="24"/>
              </w:rPr>
              <w:t>收录</w:t>
            </w:r>
            <w:r>
              <w:rPr>
                <w:rFonts w:eastAsia="仿宋_GB2312"/>
                <w:sz w:val="24"/>
              </w:rPr>
              <w:t>10</w:t>
            </w:r>
            <w:r>
              <w:rPr>
                <w:rFonts w:eastAsia="仿宋_GB2312"/>
                <w:sz w:val="24"/>
              </w:rPr>
              <w:t>余篇，</w:t>
            </w:r>
            <w:r>
              <w:rPr>
                <w:rFonts w:eastAsia="仿宋_GB2312"/>
                <w:sz w:val="24"/>
              </w:rPr>
              <w:t>EI</w:t>
            </w:r>
            <w:r>
              <w:rPr>
                <w:rFonts w:eastAsia="仿宋_GB2312"/>
                <w:sz w:val="24"/>
              </w:rPr>
              <w:t>收录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余篇），出版学术专著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部。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12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祝小元，东南大学副教授，博士生导师。</w:t>
            </w:r>
            <w:r>
              <w:rPr>
                <w:rFonts w:eastAsia="仿宋_GB2312"/>
                <w:sz w:val="24"/>
              </w:rPr>
              <w:t>参与编写外文专著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本，累计发表高水平</w:t>
            </w:r>
            <w:r>
              <w:rPr>
                <w:rFonts w:eastAsia="仿宋_GB2312"/>
                <w:sz w:val="24"/>
              </w:rPr>
              <w:t>SCI</w:t>
            </w:r>
            <w:r>
              <w:rPr>
                <w:rFonts w:eastAsia="仿宋_GB2312" w:hint="eastAsia"/>
                <w:sz w:val="24"/>
              </w:rPr>
              <w:t>期刊论文</w:t>
            </w:r>
            <w:r>
              <w:rPr>
                <w:rFonts w:eastAsia="仿宋_GB2312"/>
                <w:sz w:val="24"/>
              </w:rPr>
              <w:t>20</w:t>
            </w:r>
            <w:r>
              <w:rPr>
                <w:rFonts w:eastAsia="仿宋_GB2312" w:hint="eastAsia"/>
                <w:sz w:val="24"/>
              </w:rPr>
              <w:t>余篇，授权国家发明专利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项，主持及参与国家自然科学基金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 w:hint="eastAsia"/>
                <w:sz w:val="24"/>
              </w:rPr>
              <w:t>项。获得中国航海学会科学技术二等奖、领跑者</w:t>
            </w:r>
            <w:r>
              <w:rPr>
                <w:rFonts w:eastAsia="仿宋_GB2312" w:hint="eastAsia"/>
                <w:sz w:val="24"/>
              </w:rPr>
              <w:t>5000</w:t>
            </w:r>
            <w:r>
              <w:rPr>
                <w:rFonts w:eastAsia="仿宋_GB2312" w:hint="eastAsia"/>
                <w:sz w:val="24"/>
              </w:rPr>
              <w:t>—中国精品科技期刊顶尖学术论文等学术奖励，并担任</w:t>
            </w:r>
            <w:r>
              <w:rPr>
                <w:rFonts w:eastAsia="仿宋_GB2312" w:hint="eastAsia"/>
                <w:sz w:val="24"/>
              </w:rPr>
              <w:t>SAE</w:t>
            </w:r>
            <w:r>
              <w:rPr>
                <w:rFonts w:eastAsia="仿宋_GB2312" w:hint="eastAsia"/>
                <w:sz w:val="24"/>
              </w:rPr>
              <w:t>新能源汽车技术委员会委员、</w:t>
            </w:r>
            <w:r>
              <w:rPr>
                <w:rFonts w:eastAsia="仿宋_GB2312" w:hint="eastAsia"/>
                <w:sz w:val="24"/>
              </w:rPr>
              <w:t>Cyber-Physical Systems</w:t>
            </w:r>
            <w:r>
              <w:rPr>
                <w:rFonts w:eastAsia="仿宋_GB2312" w:hint="eastAsia"/>
                <w:sz w:val="24"/>
              </w:rPr>
              <w:t>期刊编委、</w:t>
            </w:r>
            <w:r>
              <w:rPr>
                <w:rFonts w:eastAsia="仿宋_GB2312" w:hint="eastAsia"/>
                <w:sz w:val="24"/>
              </w:rPr>
              <w:t>Sensors</w:t>
            </w:r>
            <w:r>
              <w:rPr>
                <w:rFonts w:eastAsia="仿宋_GB2312" w:hint="eastAsia"/>
                <w:sz w:val="24"/>
              </w:rPr>
              <w:t>期刊故障诊断与传感器专题顾问、</w:t>
            </w:r>
            <w:r>
              <w:rPr>
                <w:rFonts w:eastAsia="仿宋_GB2312" w:hint="eastAsia"/>
                <w:sz w:val="24"/>
              </w:rPr>
              <w:t>Advances in Mechanical Engineering</w:t>
            </w:r>
            <w:r>
              <w:rPr>
                <w:rFonts w:eastAsia="仿宋_GB2312" w:hint="eastAsia"/>
                <w:sz w:val="24"/>
              </w:rPr>
              <w:t>期刊客座编辑以及多个国际著名期刊杰出审稿人。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13</w:t>
            </w:r>
            <w:r>
              <w:rPr>
                <w:rFonts w:eastAsia="仿宋_GB2312"/>
                <w:sz w:val="24"/>
              </w:rPr>
              <w:t>）</w:t>
            </w:r>
            <w:r>
              <w:rPr>
                <w:rFonts w:eastAsia="仿宋_GB2312" w:hint="eastAsia"/>
                <w:sz w:val="24"/>
              </w:rPr>
              <w:t>高强，东南大学副教授，硕士生导师。主持并参与了国家自然科学基金，国家重点研发计划，军委科技委、省部级及企业委托等科研项目。发表高水平</w:t>
            </w:r>
            <w:r>
              <w:rPr>
                <w:rFonts w:eastAsia="仿宋_GB2312" w:hint="eastAsia"/>
                <w:sz w:val="24"/>
              </w:rPr>
              <w:t>SCI</w:t>
            </w:r>
            <w:r>
              <w:rPr>
                <w:rFonts w:eastAsia="仿宋_GB2312" w:hint="eastAsia"/>
                <w:sz w:val="24"/>
              </w:rPr>
              <w:t>期刊论文</w:t>
            </w:r>
            <w:r>
              <w:rPr>
                <w:rFonts w:eastAsia="仿宋_GB2312" w:hint="eastAsia"/>
                <w:sz w:val="24"/>
              </w:rPr>
              <w:t>40</w:t>
            </w:r>
            <w:r>
              <w:rPr>
                <w:rFonts w:eastAsia="仿宋_GB2312" w:hint="eastAsia"/>
                <w:sz w:val="24"/>
              </w:rPr>
              <w:t>余篇，申请授权专利</w:t>
            </w:r>
            <w:r>
              <w:rPr>
                <w:rFonts w:eastAsia="仿宋_GB2312" w:hint="eastAsia"/>
                <w:sz w:val="24"/>
              </w:rPr>
              <w:t>10</w:t>
            </w:r>
            <w:r>
              <w:rPr>
                <w:rFonts w:eastAsia="仿宋_GB2312" w:hint="eastAsia"/>
                <w:sz w:val="24"/>
              </w:rPr>
              <w:t>余项。</w:t>
            </w:r>
          </w:p>
          <w:p w:rsidR="006C76C9" w:rsidRDefault="006C76C9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</w:p>
          <w:p w:rsidR="006C76C9" w:rsidRDefault="00BE08DC" w:rsidP="006619E7">
            <w:pPr>
              <w:spacing w:line="48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2.</w:t>
            </w:r>
            <w:r>
              <w:rPr>
                <w:rFonts w:eastAsia="仿宋_GB2312"/>
                <w:b/>
                <w:bCs/>
                <w:sz w:val="24"/>
              </w:rPr>
              <w:t>工作保障条件（如科研设施、实践场地等情况）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本企业位于南京市江宁</w:t>
            </w:r>
            <w:proofErr w:type="gramStart"/>
            <w:r>
              <w:rPr>
                <w:rFonts w:eastAsia="仿宋_GB2312" w:hint="eastAsia"/>
                <w:sz w:val="24"/>
              </w:rPr>
              <w:t>区苏源大道</w:t>
            </w:r>
            <w:proofErr w:type="gramEnd"/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号九龙湖国际企业总部园</w:t>
            </w:r>
            <w:r>
              <w:rPr>
                <w:rFonts w:eastAsia="仿宋_GB2312" w:hint="eastAsia"/>
                <w:sz w:val="24"/>
              </w:rPr>
              <w:t>A1</w:t>
            </w:r>
            <w:r>
              <w:rPr>
                <w:rFonts w:eastAsia="仿宋_GB2312" w:hint="eastAsia"/>
                <w:sz w:val="24"/>
              </w:rPr>
              <w:t>座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层、</w:t>
            </w:r>
            <w:r>
              <w:rPr>
                <w:rFonts w:eastAsia="仿宋_GB2312" w:hint="eastAsia"/>
                <w:sz w:val="24"/>
              </w:rPr>
              <w:t>17</w:t>
            </w:r>
            <w:r>
              <w:rPr>
                <w:rFonts w:eastAsia="仿宋_GB2312" w:hint="eastAsia"/>
                <w:sz w:val="24"/>
              </w:rPr>
              <w:t>层、</w:t>
            </w:r>
            <w:r>
              <w:rPr>
                <w:rFonts w:eastAsia="仿宋_GB2312" w:hint="eastAsia"/>
                <w:sz w:val="24"/>
              </w:rPr>
              <w:t>19</w:t>
            </w:r>
            <w:r>
              <w:rPr>
                <w:rFonts w:eastAsia="仿宋_GB2312" w:hint="eastAsia"/>
                <w:sz w:val="24"/>
              </w:rPr>
              <w:t>层（江宁开发区），租赁场地面积合计</w:t>
            </w:r>
            <w:r>
              <w:rPr>
                <w:rFonts w:eastAsia="仿宋_GB2312" w:hint="eastAsia"/>
                <w:sz w:val="24"/>
              </w:rPr>
              <w:t>5832.69</w:t>
            </w:r>
            <w:r>
              <w:rPr>
                <w:rFonts w:eastAsia="仿宋_GB2312" w:hint="eastAsia"/>
                <w:sz w:val="24"/>
              </w:rPr>
              <w:t>平方米，拥有仪器装备原值共</w:t>
            </w:r>
            <w:r>
              <w:rPr>
                <w:rFonts w:eastAsia="仿宋_GB2312" w:hint="eastAsia"/>
                <w:sz w:val="24"/>
              </w:rPr>
              <w:t>352.48</w:t>
            </w:r>
            <w:r>
              <w:rPr>
                <w:rFonts w:eastAsia="仿宋_GB2312" w:hint="eastAsia"/>
                <w:sz w:val="24"/>
              </w:rPr>
              <w:t>万元。且自建的南京市车联网大数据工程技术研究中心为共同解决</w:t>
            </w:r>
            <w:proofErr w:type="gramStart"/>
            <w:r>
              <w:rPr>
                <w:rFonts w:eastAsia="仿宋_GB2312" w:hint="eastAsia"/>
                <w:sz w:val="24"/>
              </w:rPr>
              <w:t>制约车</w:t>
            </w:r>
            <w:proofErr w:type="gramEnd"/>
            <w:r>
              <w:rPr>
                <w:rFonts w:eastAsia="仿宋_GB2312" w:hint="eastAsia"/>
                <w:sz w:val="24"/>
              </w:rPr>
              <w:t>联网产业优化发展的关键技术、共性技术和具体技术问题和管理问题，就车联网荷载分析系统等开展产学研合作开发项目，可以充分利用其科研平台和高端仪器设备，进行系统调试、可靠性测试等，为产品开发提供良好的设施条件，联合创新绩效显著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本企业计划三年建设期内新增投资</w:t>
            </w:r>
            <w:r>
              <w:rPr>
                <w:rFonts w:eastAsia="仿宋_GB2312" w:hint="eastAsia"/>
                <w:sz w:val="24"/>
              </w:rPr>
              <w:t>2000</w:t>
            </w:r>
            <w:r>
              <w:rPr>
                <w:rFonts w:eastAsia="仿宋_GB2312" w:hint="eastAsia"/>
                <w:sz w:val="24"/>
              </w:rPr>
              <w:t>万元，全部来源于企业自筹，根据研发项目所需，用于完善实验仪器、设备、试验室扩建、聘请高校专家参与科研、改善环境条件、以及引进必要的软件和人员培训等。</w:t>
            </w:r>
          </w:p>
          <w:p w:rsidR="006C76C9" w:rsidRDefault="00BE08DC" w:rsidP="006619E7">
            <w:pPr>
              <w:numPr>
                <w:ilvl w:val="0"/>
                <w:numId w:val="2"/>
              </w:numPr>
              <w:spacing w:line="48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生活保障条件（包括为进站研究生提供生活、交通、通讯等补助及食宿条件等情况）</w:t>
            </w:r>
          </w:p>
          <w:p w:rsidR="006C76C9" w:rsidRDefault="00BE08DC" w:rsidP="006619E7">
            <w:pPr>
              <w:widowControl/>
              <w:spacing w:line="480" w:lineRule="exact"/>
              <w:ind w:firstLineChars="200" w:firstLine="480"/>
              <w:jc w:val="left"/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1）严格遵守《江苏省企业研究生工作站进站研究生管理办法》的相关规定，加强 </w:t>
            </w:r>
          </w:p>
          <w:p w:rsidR="006C76C9" w:rsidRDefault="00BE08DC" w:rsidP="006619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研究生学习、研发和安全等日常管理；</w:t>
            </w:r>
          </w:p>
          <w:p w:rsidR="006C76C9" w:rsidRDefault="00BE08DC" w:rsidP="006619E7">
            <w:pPr>
              <w:widowControl/>
              <w:numPr>
                <w:ilvl w:val="0"/>
                <w:numId w:val="3"/>
              </w:numPr>
              <w:spacing w:line="48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公司周边具有园区班车、地铁、公交、商场、食堂等诸多优质的交通、生活条件；</w:t>
            </w:r>
          </w:p>
          <w:p w:rsidR="006C76C9" w:rsidRDefault="00BE08DC" w:rsidP="006619E7">
            <w:pPr>
              <w:widowControl/>
              <w:numPr>
                <w:ilvl w:val="0"/>
                <w:numId w:val="3"/>
              </w:numPr>
              <w:spacing w:line="48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提供生活补贴：为进站研究生缴纳保险、提供食宿补贴，进站博士研究生每人每月不低于2000元，进站硕士研究生每人每月不低于1000元；</w:t>
            </w:r>
          </w:p>
          <w:p w:rsidR="006C76C9" w:rsidRDefault="00BE08DC" w:rsidP="006619E7">
            <w:pPr>
              <w:widowControl/>
              <w:spacing w:line="480" w:lineRule="exact"/>
              <w:ind w:firstLineChars="200" w:firstLine="480"/>
              <w:jc w:val="left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（4）建立健全研究生工作站管理规章制度，严格执行，每年按时上报基本数据；</w:t>
            </w:r>
          </w:p>
          <w:p w:rsidR="006C76C9" w:rsidRDefault="00BE08DC" w:rsidP="006619E7">
            <w:pPr>
              <w:widowControl/>
              <w:spacing w:line="48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（5）设立专项经费并配备专职人员对进站人员进行管理和后勤保障联系；</w:t>
            </w:r>
          </w:p>
          <w:p w:rsidR="006C76C9" w:rsidRDefault="00BE08DC" w:rsidP="006619E7">
            <w:pPr>
              <w:widowControl/>
              <w:spacing w:line="48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（6）对表现良好的进站研究生，实行免实习期优先聘用机制，对其研发成果通过公司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奖补及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市场反哺机制进行奖励。</w:t>
            </w:r>
          </w:p>
          <w:p w:rsidR="006C76C9" w:rsidRDefault="00BE08DC" w:rsidP="006619E7">
            <w:pPr>
              <w:spacing w:line="480" w:lineRule="exact"/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进站研究生正式与本企业签订劳动合同后可享受以下福利待遇：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节日福利：在春节、端午、中秋、司庆享受对应节日津贴；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工作餐：在工作日按照18元/人/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天标准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提供工作午餐；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结婚礼金：员工在职期间结婚登记，企业赠送结婚礼金，标准为600元/人；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生育礼金：员工或者员工配偶生育，企业赠送生育资金，标准为600元/人；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生日礼金：为当月寿星员工提供价值200元的关爱通积分；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丧葬慰问金：员工直系亲属（指配偶、子女、父母或配偶之父母）亡故，员工在2个月内正式知会人力行政部，企业致奠仪1000元；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通讯和交通津贴（根据职级发放）；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南京市租房补贴：硕士每人每月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800元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、博士每人每月2000元（依据南京市人才安居办法申请）；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商业保险：企业为员工提供额外商业保险，为员工未成年子女提供商业保险；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员工体检：企业为符合条件的员工每年安排一次体检。</w:t>
            </w:r>
          </w:p>
          <w:p w:rsidR="006C76C9" w:rsidRDefault="00BE08DC" w:rsidP="006619E7">
            <w:pPr>
              <w:widowControl/>
              <w:numPr>
                <w:ilvl w:val="0"/>
                <w:numId w:val="4"/>
              </w:numPr>
              <w:spacing w:line="480" w:lineRule="exact"/>
              <w:ind w:left="0" w:firstLine="42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团队建设：企业员工均有机会参与每年定期或不定期举行的各项活动，企业设置各项俱乐部，每个俱乐部有相关经费，用于活动所用。</w:t>
            </w:r>
          </w:p>
          <w:p w:rsidR="006C76C9" w:rsidRDefault="006C76C9" w:rsidP="006619E7">
            <w:pPr>
              <w:spacing w:line="480" w:lineRule="exact"/>
              <w:rPr>
                <w:rFonts w:eastAsia="仿宋_GB2312"/>
                <w:sz w:val="24"/>
              </w:rPr>
            </w:pPr>
          </w:p>
          <w:p w:rsidR="006C76C9" w:rsidRDefault="00BE08DC" w:rsidP="006619E7">
            <w:pPr>
              <w:spacing w:line="48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4.</w:t>
            </w:r>
            <w:r>
              <w:rPr>
                <w:rFonts w:eastAsia="仿宋_GB2312"/>
                <w:b/>
                <w:bCs/>
                <w:sz w:val="24"/>
              </w:rPr>
              <w:t>研究生进站培养计划和方案（限</w:t>
            </w:r>
            <w:r>
              <w:rPr>
                <w:rFonts w:eastAsia="仿宋_GB2312"/>
                <w:b/>
                <w:bCs/>
                <w:sz w:val="24"/>
              </w:rPr>
              <w:t>800</w:t>
            </w:r>
            <w:r>
              <w:rPr>
                <w:rFonts w:eastAsia="仿宋_GB2312"/>
                <w:b/>
                <w:bCs/>
                <w:sz w:val="24"/>
              </w:rPr>
              <w:t>字以内）</w:t>
            </w:r>
          </w:p>
          <w:p w:rsidR="006C76C9" w:rsidRDefault="00BE08DC" w:rsidP="006619E7">
            <w:pPr>
              <w:widowControl/>
              <w:spacing w:line="48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1）制订研究生管理制度，明确管理职责</w:t>
            </w:r>
          </w:p>
          <w:p w:rsidR="006C76C9" w:rsidRDefault="00BE08DC" w:rsidP="006619E7">
            <w:pPr>
              <w:widowControl/>
              <w:spacing w:line="480" w:lineRule="exact"/>
              <w:ind w:firstLineChars="200" w:firstLine="480"/>
              <w:jc w:val="left"/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公司严格按照研究生工作站管理办法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，明确实施方案，落实课题研究经费、遴选进站研究生，保障进站导师和研究生必需的科研、生活条件等，并全面负责进站研究生的管理和考核工作。对研究生进入工作站的全过程进行规范管理，制定一系列管理文件。学生在正式进入研究生工作站工作前，要进行安全规章工作规范，操作守则，作息时间等培训和教育，合格后方可工作。在站内工作时间要严格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履行请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销假制度，未经过工作站和学校同意，私自离站人员将按照学校的规章制度给予处分，不能参加专业实践的考核工作。</w:t>
            </w:r>
          </w:p>
          <w:p w:rsidR="006C76C9" w:rsidRDefault="00BE08DC" w:rsidP="006619E7">
            <w:pPr>
              <w:widowControl/>
              <w:numPr>
                <w:ilvl w:val="0"/>
                <w:numId w:val="5"/>
              </w:numPr>
              <w:spacing w:line="48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明确进站研究生的权利与义务</w:t>
            </w:r>
          </w:p>
          <w:p w:rsidR="006C76C9" w:rsidRDefault="00BE08DC" w:rsidP="006619E7">
            <w:pPr>
              <w:widowControl/>
              <w:spacing w:line="480" w:lineRule="exact"/>
              <w:ind w:firstLineChars="200" w:firstLine="480"/>
              <w:jc w:val="left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工作站实行课题管理制和双导师制，学校选派有技术实战经验的老师担任校内导师，设站单位按照学校要求负责配备校外导师。研究生进入企业研究生工作站，企业、高校和研究生三方签署研究生进站协议，各方严格履行相关的协议内容。学生进站后生活待遇、学习与科研条件及人身安全保护按照签订的协议执行，具体标准需在协议中进行明确；进站研究生应与企业签订保密协议，对所涉及的科研机密和企业商业秘密应严格保守。进站工作期间形成的科学研究论文，必须经校企双方同意，方可在国内外期刊杂志和学术会议上发表。 </w:t>
            </w:r>
          </w:p>
          <w:p w:rsidR="006C76C9" w:rsidRDefault="00BE08DC" w:rsidP="006619E7">
            <w:pPr>
              <w:widowControl/>
              <w:spacing w:line="480" w:lineRule="exact"/>
              <w:ind w:firstLineChars="200" w:firstLine="480"/>
              <w:jc w:val="left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 xml:space="preserve">（3）明确课题研究/项目开发任务 </w:t>
            </w:r>
          </w:p>
          <w:p w:rsidR="006C76C9" w:rsidRDefault="00BE08DC" w:rsidP="006619E7">
            <w:pPr>
              <w:widowControl/>
              <w:spacing w:line="48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研究生进入企业研究生工作站时带有明确的课题任务，企业与学生及研究生导师签订课题研究任务书，在导师指导下制定研究计划，开展课题研究。进站的研究生必须定期向校内导师报告工作和论文进展情况，并做好记录。在研究生论文开题、中期检查、论文写作和答辩要求，专业实践考核要求均按照学校有关规定执行。完成专业实践工作的研究生，按照研究生工作站要求进行考核，考核成绩合格才能得到相应的学分。</w:t>
            </w:r>
          </w:p>
          <w:p w:rsidR="006C76C9" w:rsidRDefault="006C76C9" w:rsidP="006619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6C76C9" w:rsidRDefault="006C76C9" w:rsidP="006619E7">
            <w:pPr>
              <w:widowControl/>
              <w:spacing w:line="48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6C76C9" w:rsidRDefault="006C76C9" w:rsidP="006619E7">
            <w:pPr>
              <w:widowControl/>
              <w:spacing w:line="480" w:lineRule="exact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  <w:p w:rsidR="006C76C9" w:rsidRDefault="006C76C9" w:rsidP="006619E7">
            <w:pPr>
              <w:widowControl/>
              <w:spacing w:line="480" w:lineRule="exact"/>
              <w:ind w:firstLineChars="200" w:firstLine="480"/>
              <w:jc w:val="left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:rsidR="006C76C9" w:rsidTr="006619E7">
        <w:trPr>
          <w:trHeight w:val="5044"/>
          <w:jc w:val="center"/>
        </w:trPr>
        <w:tc>
          <w:tcPr>
            <w:tcW w:w="3044" w:type="dxa"/>
            <w:gridSpan w:val="4"/>
          </w:tcPr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BE08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申请设站单位意见</w:t>
            </w:r>
          </w:p>
          <w:p w:rsidR="006C76C9" w:rsidRDefault="00BE08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BE08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BE08DC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2977" w:type="dxa"/>
            <w:gridSpan w:val="3"/>
          </w:tcPr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BE08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高校所属院系意见</w:t>
            </w:r>
          </w:p>
          <w:p w:rsidR="006C76C9" w:rsidRDefault="00BE08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BE08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BE08DC">
            <w:pPr>
              <w:ind w:firstLineChars="150" w:firstLine="36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3354" w:type="dxa"/>
            <w:gridSpan w:val="4"/>
          </w:tcPr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BE08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高校意见</w:t>
            </w:r>
          </w:p>
          <w:p w:rsidR="006C76C9" w:rsidRDefault="00BE08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BE08DC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负责人签字（签章）</w:t>
            </w: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6C76C9">
            <w:pPr>
              <w:rPr>
                <w:rFonts w:eastAsia="仿宋_GB2312"/>
                <w:sz w:val="24"/>
              </w:rPr>
            </w:pPr>
          </w:p>
          <w:p w:rsidR="006C76C9" w:rsidRDefault="00BE08DC">
            <w:pPr>
              <w:ind w:firstLineChars="300" w:firstLine="720"/>
              <w:rPr>
                <w:szCs w:val="21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6C76C9" w:rsidRDefault="006C76C9"/>
    <w:sectPr w:rsidR="006C76C9">
      <w:pgSz w:w="11906" w:h="16838"/>
      <w:pgMar w:top="1134" w:right="1800" w:bottom="198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EAC" w:rsidRDefault="000C6EAC">
      <w:r>
        <w:separator/>
      </w:r>
    </w:p>
  </w:endnote>
  <w:endnote w:type="continuationSeparator" w:id="0">
    <w:p w:rsidR="000C6EAC" w:rsidRDefault="000C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C9" w:rsidRDefault="00BE08DC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6C76C9" w:rsidRDefault="006C76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578234"/>
    </w:sdtPr>
    <w:sdtEndPr/>
    <w:sdtContent>
      <w:p w:rsidR="006C76C9" w:rsidRDefault="00BE08D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6C76C9" w:rsidRDefault="006C76C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76C9" w:rsidRDefault="00BE08DC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10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6C76C9" w:rsidRDefault="006C76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EAC" w:rsidRDefault="000C6EAC">
      <w:r>
        <w:separator/>
      </w:r>
    </w:p>
  </w:footnote>
  <w:footnote w:type="continuationSeparator" w:id="0">
    <w:p w:rsidR="000C6EAC" w:rsidRDefault="000C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3397B78"/>
    <w:multiLevelType w:val="singleLevel"/>
    <w:tmpl w:val="A3397B78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03649FFC"/>
    <w:multiLevelType w:val="singleLevel"/>
    <w:tmpl w:val="03649FFC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43AE7A1E"/>
    <w:multiLevelType w:val="singleLevel"/>
    <w:tmpl w:val="43AE7A1E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62AADC45"/>
    <w:multiLevelType w:val="singleLevel"/>
    <w:tmpl w:val="62AADC45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746EB076"/>
    <w:multiLevelType w:val="singleLevel"/>
    <w:tmpl w:val="746EB076"/>
    <w:lvl w:ilvl="0">
      <w:start w:val="2"/>
      <w:numFmt w:val="decimal"/>
      <w:suff w:val="nothing"/>
      <w:lvlText w:val="（%1）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MyZGYxYjNmZTY4Y2UzMmRlZDA1NjAwYzQyNDhkMjEifQ=="/>
  </w:docVars>
  <w:rsids>
    <w:rsidRoot w:val="00F14EEE"/>
    <w:rsid w:val="00023FEC"/>
    <w:rsid w:val="000A224D"/>
    <w:rsid w:val="000A6420"/>
    <w:rsid w:val="000C6EAC"/>
    <w:rsid w:val="006619E7"/>
    <w:rsid w:val="006C76C9"/>
    <w:rsid w:val="008B7717"/>
    <w:rsid w:val="00955F0F"/>
    <w:rsid w:val="00AA23D8"/>
    <w:rsid w:val="00B02A5F"/>
    <w:rsid w:val="00BC41C1"/>
    <w:rsid w:val="00BE08DC"/>
    <w:rsid w:val="00E05E2D"/>
    <w:rsid w:val="00E45FC0"/>
    <w:rsid w:val="00F14EEE"/>
    <w:rsid w:val="16676FA7"/>
    <w:rsid w:val="1E4D4945"/>
    <w:rsid w:val="25140424"/>
    <w:rsid w:val="26CB4E2D"/>
    <w:rsid w:val="36E4579C"/>
    <w:rsid w:val="5D625729"/>
    <w:rsid w:val="74901ED0"/>
    <w:rsid w:val="7AC72E8E"/>
    <w:rsid w:val="7C3A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10229"/>
  <w15:docId w15:val="{A9E1FA1B-93A5-41FA-AD3C-F664A3C7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Emphasis"/>
    <w:basedOn w:val="a0"/>
    <w:uiPriority w:val="20"/>
    <w:qFormat/>
    <w:rPr>
      <w:i/>
    </w:rPr>
  </w:style>
  <w:style w:type="character" w:customStyle="1" w:styleId="a9">
    <w:name w:val="页脚 字符"/>
    <w:basedOn w:val="a0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3148e-4ea0-46b1-8902-96a6c82024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610FD0264F859448189F3DD25EE710B" ma:contentTypeVersion="4" ma:contentTypeDescription="新建文档。" ma:contentTypeScope="" ma:versionID="540914886f00ddd11c46a8fd84ff28d3">
  <xsd:schema xmlns:xsd="http://www.w3.org/2001/XMLSchema" xmlns:xs="http://www.w3.org/2001/XMLSchema" xmlns:p="http://schemas.microsoft.com/office/2006/metadata/properties" xmlns:ns3="81112606-943c-4f56-b30a-c1c8105606ab" xmlns:ns4="cc93148e-4ea0-46b1-8902-96a6c8202495" targetNamespace="http://schemas.microsoft.com/office/2006/metadata/properties" ma:root="true" ma:fieldsID="37a49f301d094194de014a306bc4b967" ns3:_="" ns4:_="">
    <xsd:import namespace="81112606-943c-4f56-b30a-c1c8105606ab"/>
    <xsd:import namespace="cc93148e-4ea0-46b1-8902-96a6c82024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12606-943c-4f56-b30a-c1c8105606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享提示哈希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3148e-4ea0-46b1-8902-96a6c8202495" elementFormDefault="qualified">
    <xsd:import namespace="http://schemas.microsoft.com/office/2006/documentManagement/types"/>
    <xsd:import namespace="http://schemas.microsoft.com/office/infopath/2007/PartnerControls"/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D9945-FD9C-4149-9E29-B8AE6EA5EA7D}">
  <ds:schemaRefs>
    <ds:schemaRef ds:uri="http://schemas.microsoft.com/office/2006/metadata/properties"/>
    <ds:schemaRef ds:uri="http://schemas.microsoft.com/office/infopath/2007/PartnerControls"/>
    <ds:schemaRef ds:uri="cc93148e-4ea0-46b1-8902-96a6c8202495"/>
  </ds:schemaRefs>
</ds:datastoreItem>
</file>

<file path=customXml/itemProps2.xml><?xml version="1.0" encoding="utf-8"?>
<ds:datastoreItem xmlns:ds="http://schemas.openxmlformats.org/officeDocument/2006/customXml" ds:itemID="{9F575583-C1BC-41DA-9D79-198AAA747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4CC52-D058-4A3C-80C4-AA8C589A6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12606-943c-4f56-b30a-c1c8105606ab"/>
    <ds:schemaRef ds:uri="cc93148e-4ea0-46b1-8902-96a6c8202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1124</Words>
  <Characters>6409</Characters>
  <Application>Microsoft Office Word</Application>
  <DocSecurity>0</DocSecurity>
  <Lines>53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曹蕾</dc:creator>
  <cp:lastModifiedBy>Weichao Zhuang</cp:lastModifiedBy>
  <cp:revision>5</cp:revision>
  <dcterms:created xsi:type="dcterms:W3CDTF">2023-05-31T03:00:00Z</dcterms:created>
  <dcterms:modified xsi:type="dcterms:W3CDTF">2023-06-09T07:05:00Z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0x0101005610FD0264F859448189F3DD25EE710B</vt:lpwstr>
  </property>
  <property fmtid="{D5CDD505-2E9C-101B-9397-08002B2CF9AE}" pid="3" name="KSOProductBuildVer">
    <vt:lpwstr>2052-11.1.0.14309</vt:lpwstr>
  </property>
  <property fmtid="{D5CDD505-2E9C-101B-9397-08002B2CF9AE}" pid="4" name="ICV">
    <vt:lpwstr>82D87451D926403EAB40FE93ED0F81F6_13</vt:lpwstr>
  </property>
</Properties>
</file>